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F94FAA" w:rsidRPr="00EE121D" w:rsidRDefault="0006079A" w:rsidP="006C76E4">
      <w:pPr>
        <w:tabs>
          <w:tab w:val="center" w:pos="4680"/>
          <w:tab w:val="right" w:pos="9000"/>
        </w:tabs>
        <w:rPr>
          <w:color w:val="808080"/>
          <w:sz w:val="24"/>
          <w:szCs w:val="24"/>
          <w:highlight w:val="yellow"/>
        </w:rPr>
      </w:pPr>
      <w:r>
        <w:rPr>
          <w:noProof/>
          <w:sz w:val="24"/>
          <w:szCs w:val="24"/>
          <w:lang w:eastAsia="en-US"/>
        </w:rPr>
        <w:drawing>
          <wp:inline distT="0" distB="0" distL="0" distR="0">
            <wp:extent cx="3848735" cy="914400"/>
            <wp:effectExtent l="0" t="0" r="0" b="0"/>
            <wp:docPr id="1" name="Picture 1" descr="Tech_For_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_For_Al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914400"/>
                    </a:xfrm>
                    <a:prstGeom prst="rect">
                      <a:avLst/>
                    </a:prstGeom>
                    <a:noFill/>
                    <a:ln>
                      <a:noFill/>
                    </a:ln>
                  </pic:spPr>
                </pic:pic>
              </a:graphicData>
            </a:graphic>
          </wp:inline>
        </w:drawing>
      </w:r>
    </w:p>
    <w:p w:rsidR="00F94FAA" w:rsidRPr="00EE121D" w:rsidRDefault="00F94FAA" w:rsidP="006C76E4">
      <w:pPr>
        <w:tabs>
          <w:tab w:val="center" w:pos="4680"/>
          <w:tab w:val="right" w:pos="9000"/>
        </w:tabs>
        <w:rPr>
          <w:sz w:val="24"/>
          <w:szCs w:val="24"/>
          <w:highlight w:val="yellow"/>
        </w:rPr>
      </w:pPr>
    </w:p>
    <w:p w:rsidR="00F94FAA" w:rsidRPr="00AA2BF9" w:rsidRDefault="00FB1E04" w:rsidP="001E088B">
      <w:pPr>
        <w:tabs>
          <w:tab w:val="center" w:pos="4680"/>
          <w:tab w:val="right" w:pos="9000"/>
        </w:tabs>
        <w:jc w:val="right"/>
        <w:rPr>
          <w:b/>
          <w:color w:val="FF0000"/>
          <w:sz w:val="32"/>
          <w:szCs w:val="32"/>
        </w:rPr>
      </w:pPr>
      <w:r w:rsidRPr="00EE121D">
        <w:rPr>
          <w:b/>
          <w:color w:val="FF0000"/>
          <w:sz w:val="24"/>
          <w:szCs w:val="24"/>
        </w:rPr>
        <w:t xml:space="preserve">                                                                                                         </w:t>
      </w:r>
      <w:r w:rsidR="007E1B64" w:rsidRPr="00EE121D">
        <w:rPr>
          <w:b/>
          <w:color w:val="FF0000"/>
          <w:sz w:val="24"/>
          <w:szCs w:val="24"/>
        </w:rPr>
        <w:t xml:space="preserve">  </w:t>
      </w:r>
      <w:r w:rsidR="0003464F">
        <w:rPr>
          <w:b/>
          <w:color w:val="FF0000"/>
          <w:sz w:val="24"/>
          <w:szCs w:val="24"/>
        </w:rPr>
        <w:t xml:space="preserve">                  </w:t>
      </w:r>
    </w:p>
    <w:p w:rsidR="00F94FAA" w:rsidRPr="00EE121D" w:rsidRDefault="00F94FAA" w:rsidP="006C76E4">
      <w:pPr>
        <w:pStyle w:val="Header"/>
        <w:tabs>
          <w:tab w:val="clear" w:pos="4320"/>
          <w:tab w:val="clear" w:pos="8640"/>
          <w:tab w:val="center" w:pos="4680"/>
          <w:tab w:val="right" w:pos="9000"/>
        </w:tabs>
        <w:jc w:val="right"/>
        <w:rPr>
          <w:sz w:val="24"/>
          <w:szCs w:val="24"/>
          <w:highlight w:val="yellow"/>
        </w:rPr>
      </w:pPr>
    </w:p>
    <w:p w:rsidR="00765E22" w:rsidRPr="00F41846" w:rsidRDefault="00765E22" w:rsidP="00765E22">
      <w:pPr>
        <w:tabs>
          <w:tab w:val="center" w:pos="4680"/>
          <w:tab w:val="right" w:pos="9000"/>
        </w:tabs>
        <w:spacing w:line="276" w:lineRule="auto"/>
        <w:jc w:val="right"/>
        <w:rPr>
          <w:b/>
          <w:i/>
          <w:color w:val="008000"/>
          <w:sz w:val="32"/>
          <w:szCs w:val="32"/>
        </w:rPr>
      </w:pPr>
      <w:r>
        <w:rPr>
          <w:b/>
          <w:i/>
          <w:color w:val="008000"/>
          <w:sz w:val="32"/>
          <w:szCs w:val="32"/>
        </w:rPr>
        <w:t xml:space="preserve">VitalSource </w:t>
      </w:r>
      <w:r w:rsidRPr="00F41846">
        <w:rPr>
          <w:b/>
          <w:i/>
          <w:color w:val="008000"/>
          <w:sz w:val="32"/>
          <w:szCs w:val="32"/>
        </w:rPr>
        <w:t xml:space="preserve">Bookshelf </w:t>
      </w:r>
      <w:r>
        <w:rPr>
          <w:b/>
          <w:i/>
          <w:color w:val="008000"/>
          <w:sz w:val="32"/>
          <w:szCs w:val="32"/>
        </w:rPr>
        <w:t xml:space="preserve">Mac OSX </w:t>
      </w:r>
      <w:r w:rsidRPr="00F41846">
        <w:rPr>
          <w:b/>
          <w:i/>
          <w:color w:val="008000"/>
          <w:sz w:val="32"/>
          <w:szCs w:val="32"/>
        </w:rPr>
        <w:t xml:space="preserve">Desktop Platform </w:t>
      </w:r>
      <w:r>
        <w:rPr>
          <w:b/>
          <w:i/>
          <w:color w:val="008000"/>
          <w:sz w:val="32"/>
          <w:szCs w:val="32"/>
        </w:rPr>
        <w:t>7.0 (2429)</w:t>
      </w:r>
      <w:r w:rsidRPr="00F41846">
        <w:rPr>
          <w:b/>
          <w:i/>
          <w:color w:val="008000"/>
          <w:sz w:val="32"/>
          <w:szCs w:val="32"/>
        </w:rPr>
        <w:t xml:space="preserve"> </w:t>
      </w:r>
    </w:p>
    <w:p w:rsidR="00765E22" w:rsidRDefault="00765E22" w:rsidP="00765E22">
      <w:pPr>
        <w:tabs>
          <w:tab w:val="center" w:pos="4680"/>
          <w:tab w:val="right" w:pos="9000"/>
        </w:tabs>
        <w:spacing w:line="276" w:lineRule="auto"/>
        <w:jc w:val="right"/>
        <w:rPr>
          <w:b/>
          <w:i/>
          <w:color w:val="008000"/>
          <w:sz w:val="36"/>
          <w:szCs w:val="36"/>
        </w:rPr>
      </w:pPr>
    </w:p>
    <w:p w:rsidR="00765E22" w:rsidRPr="00F41846" w:rsidRDefault="00765E22" w:rsidP="00765E22">
      <w:pPr>
        <w:tabs>
          <w:tab w:val="center" w:pos="4680"/>
          <w:tab w:val="right" w:pos="9000"/>
        </w:tabs>
        <w:spacing w:line="276" w:lineRule="auto"/>
        <w:jc w:val="right"/>
        <w:rPr>
          <w:b/>
          <w:i/>
          <w:color w:val="008000"/>
          <w:sz w:val="32"/>
          <w:szCs w:val="32"/>
        </w:rPr>
      </w:pPr>
      <w:r w:rsidRPr="00F41846">
        <w:rPr>
          <w:b/>
          <w:i/>
          <w:color w:val="008000"/>
          <w:sz w:val="32"/>
          <w:szCs w:val="32"/>
        </w:rPr>
        <w:t>VPAT</w:t>
      </w:r>
    </w:p>
    <w:p w:rsidR="00F41846" w:rsidRDefault="00F41846" w:rsidP="002131C9">
      <w:pPr>
        <w:tabs>
          <w:tab w:val="center" w:pos="4680"/>
          <w:tab w:val="right" w:pos="9000"/>
        </w:tabs>
        <w:spacing w:line="276" w:lineRule="auto"/>
        <w:jc w:val="right"/>
        <w:rPr>
          <w:b/>
          <w:i/>
          <w:color w:val="008000"/>
          <w:sz w:val="36"/>
          <w:szCs w:val="36"/>
        </w:rPr>
      </w:pPr>
    </w:p>
    <w:p w:rsidR="00560358" w:rsidRDefault="00560358" w:rsidP="00560358">
      <w:pPr>
        <w:tabs>
          <w:tab w:val="center" w:pos="4680"/>
          <w:tab w:val="right" w:pos="9000"/>
        </w:tabs>
        <w:jc w:val="right"/>
        <w:rPr>
          <w:sz w:val="32"/>
          <w:szCs w:val="32"/>
        </w:rPr>
      </w:pPr>
    </w:p>
    <w:p w:rsidR="00560358" w:rsidRPr="00185E9C" w:rsidRDefault="00560358" w:rsidP="002131C9">
      <w:pPr>
        <w:tabs>
          <w:tab w:val="center" w:pos="4680"/>
          <w:tab w:val="right" w:pos="9000"/>
        </w:tabs>
        <w:spacing w:line="276" w:lineRule="auto"/>
        <w:jc w:val="right"/>
        <w:rPr>
          <w:sz w:val="32"/>
          <w:szCs w:val="32"/>
        </w:rPr>
      </w:pPr>
      <w:r w:rsidRPr="00185E9C">
        <w:rPr>
          <w:sz w:val="32"/>
          <w:szCs w:val="32"/>
        </w:rPr>
        <w:t>Presented to: VitalSource Technologies, Inc.</w:t>
      </w:r>
    </w:p>
    <w:p w:rsidR="00560358" w:rsidRPr="005A18F6" w:rsidRDefault="00560358" w:rsidP="002131C9">
      <w:pPr>
        <w:spacing w:line="276" w:lineRule="auto"/>
        <w:jc w:val="center"/>
        <w:rPr>
          <w:b/>
          <w:color w:val="000080"/>
          <w:sz w:val="24"/>
          <w:szCs w:val="24"/>
        </w:rPr>
      </w:pPr>
      <w:r w:rsidRPr="00185E9C">
        <w:rPr>
          <w:b/>
          <w:color w:val="000080"/>
          <w:sz w:val="32"/>
          <w:szCs w:val="28"/>
        </w:rPr>
        <w:t xml:space="preserve">               </w:t>
      </w:r>
    </w:p>
    <w:p w:rsidR="00560358" w:rsidRPr="005A18F6" w:rsidRDefault="00560358" w:rsidP="002131C9">
      <w:pPr>
        <w:spacing w:line="276" w:lineRule="auto"/>
        <w:jc w:val="right"/>
        <w:rPr>
          <w:bCs/>
          <w:color w:val="000000"/>
          <w:sz w:val="24"/>
          <w:szCs w:val="24"/>
        </w:rPr>
      </w:pPr>
      <w:r w:rsidRPr="005A18F6">
        <w:rPr>
          <w:bCs/>
          <w:color w:val="000000"/>
          <w:sz w:val="24"/>
          <w:szCs w:val="24"/>
        </w:rPr>
        <w:t>Contact</w:t>
      </w:r>
      <w:r w:rsidR="00E65DB2" w:rsidRPr="005A18F6">
        <w:rPr>
          <w:bCs/>
          <w:color w:val="000000"/>
          <w:sz w:val="24"/>
          <w:szCs w:val="24"/>
        </w:rPr>
        <w:t>s</w:t>
      </w:r>
      <w:r w:rsidRPr="005A18F6">
        <w:rPr>
          <w:bCs/>
          <w:color w:val="000000"/>
          <w:sz w:val="24"/>
          <w:szCs w:val="24"/>
        </w:rPr>
        <w:t xml:space="preserve">:  </w:t>
      </w:r>
    </w:p>
    <w:p w:rsidR="00560358" w:rsidRPr="005A18F6" w:rsidRDefault="00560358" w:rsidP="002131C9">
      <w:pPr>
        <w:spacing w:line="276" w:lineRule="auto"/>
        <w:jc w:val="right"/>
        <w:rPr>
          <w:sz w:val="24"/>
          <w:szCs w:val="24"/>
        </w:rPr>
      </w:pPr>
      <w:r w:rsidRPr="005A18F6">
        <w:rPr>
          <w:iCs/>
          <w:color w:val="000000"/>
          <w:sz w:val="24"/>
          <w:szCs w:val="24"/>
        </w:rPr>
        <w:t>Rick Johnson</w:t>
      </w:r>
      <w:r w:rsidRPr="005A18F6">
        <w:rPr>
          <w:iCs/>
          <w:color w:val="000000"/>
          <w:sz w:val="24"/>
          <w:szCs w:val="24"/>
        </w:rPr>
        <w:br/>
        <w:t xml:space="preserve">VP of Product Development &amp; Sales Engineering </w:t>
      </w:r>
      <w:bookmarkStart w:id="0" w:name="_Toc293840735"/>
      <w:bookmarkStart w:id="1" w:name="_Toc293944078"/>
    </w:p>
    <w:p w:rsidR="00560358" w:rsidRPr="005A18F6" w:rsidRDefault="000A436F" w:rsidP="002131C9">
      <w:pPr>
        <w:spacing w:line="276" w:lineRule="auto"/>
        <w:jc w:val="right"/>
        <w:rPr>
          <w:sz w:val="24"/>
          <w:szCs w:val="24"/>
        </w:rPr>
      </w:pPr>
      <w:hyperlink r:id="rId9" w:history="1">
        <w:r w:rsidR="00560358" w:rsidRPr="005A18F6">
          <w:rPr>
            <w:rStyle w:val="Hyperlink"/>
            <w:sz w:val="24"/>
            <w:szCs w:val="24"/>
          </w:rPr>
          <w:t>rick.johnson@ingramdigital.com</w:t>
        </w:r>
      </w:hyperlink>
    </w:p>
    <w:p w:rsidR="00560358" w:rsidRPr="005A18F6" w:rsidRDefault="00560358" w:rsidP="002131C9">
      <w:pPr>
        <w:spacing w:line="276" w:lineRule="auto"/>
        <w:jc w:val="right"/>
        <w:rPr>
          <w:sz w:val="24"/>
          <w:szCs w:val="24"/>
          <w:highlight w:val="yellow"/>
        </w:rPr>
      </w:pPr>
    </w:p>
    <w:p w:rsidR="00F71A36" w:rsidRPr="005A18F6" w:rsidRDefault="00F71A36" w:rsidP="002131C9">
      <w:pPr>
        <w:spacing w:line="276" w:lineRule="auto"/>
        <w:jc w:val="right"/>
        <w:rPr>
          <w:sz w:val="24"/>
          <w:szCs w:val="24"/>
        </w:rPr>
      </w:pPr>
      <w:r w:rsidRPr="005A18F6">
        <w:rPr>
          <w:sz w:val="24"/>
          <w:szCs w:val="24"/>
        </w:rPr>
        <w:t>Nick Brown</w:t>
      </w:r>
    </w:p>
    <w:p w:rsidR="00F71A36" w:rsidRPr="005A18F6" w:rsidRDefault="00F71A36" w:rsidP="002131C9">
      <w:pPr>
        <w:spacing w:line="276" w:lineRule="auto"/>
        <w:jc w:val="right"/>
        <w:rPr>
          <w:sz w:val="24"/>
          <w:szCs w:val="24"/>
        </w:rPr>
      </w:pPr>
      <w:r w:rsidRPr="005A18F6">
        <w:rPr>
          <w:sz w:val="24"/>
          <w:szCs w:val="24"/>
        </w:rPr>
        <w:t>Bookshelf Product Manager</w:t>
      </w:r>
    </w:p>
    <w:p w:rsidR="00F71A36" w:rsidRPr="005A18F6" w:rsidRDefault="000A436F" w:rsidP="002131C9">
      <w:pPr>
        <w:spacing w:line="276" w:lineRule="auto"/>
        <w:jc w:val="right"/>
        <w:rPr>
          <w:sz w:val="24"/>
          <w:szCs w:val="24"/>
        </w:rPr>
      </w:pPr>
      <w:hyperlink r:id="rId10" w:history="1">
        <w:r w:rsidR="00F71A36" w:rsidRPr="005A18F6">
          <w:rPr>
            <w:rStyle w:val="Hyperlink"/>
            <w:sz w:val="24"/>
            <w:szCs w:val="24"/>
          </w:rPr>
          <w:t>Nick.brown@ingromcontent.com</w:t>
        </w:r>
      </w:hyperlink>
    </w:p>
    <w:p w:rsidR="00F71A36" w:rsidRPr="005A18F6" w:rsidRDefault="00F71A36" w:rsidP="002131C9">
      <w:pPr>
        <w:spacing w:line="276" w:lineRule="auto"/>
        <w:jc w:val="right"/>
        <w:rPr>
          <w:sz w:val="24"/>
          <w:szCs w:val="24"/>
          <w:highlight w:val="yellow"/>
        </w:rPr>
      </w:pPr>
    </w:p>
    <w:p w:rsidR="005F747F" w:rsidRPr="005A18F6" w:rsidRDefault="005F747F" w:rsidP="003C277A">
      <w:pPr>
        <w:spacing w:line="276" w:lineRule="auto"/>
        <w:jc w:val="right"/>
        <w:rPr>
          <w:sz w:val="24"/>
          <w:szCs w:val="24"/>
        </w:rPr>
      </w:pPr>
      <w:r w:rsidRPr="005A18F6">
        <w:rPr>
          <w:sz w:val="24"/>
          <w:szCs w:val="24"/>
        </w:rPr>
        <w:t xml:space="preserve">Blake </w:t>
      </w:r>
      <w:r w:rsidR="003C277A" w:rsidRPr="005A18F6">
        <w:rPr>
          <w:sz w:val="24"/>
          <w:szCs w:val="24"/>
        </w:rPr>
        <w:t>Perdue</w:t>
      </w:r>
    </w:p>
    <w:p w:rsidR="003C277A" w:rsidRPr="005A18F6" w:rsidRDefault="003C277A" w:rsidP="003C277A">
      <w:pPr>
        <w:spacing w:line="276" w:lineRule="auto"/>
        <w:jc w:val="right"/>
        <w:rPr>
          <w:sz w:val="24"/>
          <w:szCs w:val="24"/>
        </w:rPr>
      </w:pPr>
      <w:r w:rsidRPr="005A18F6">
        <w:rPr>
          <w:sz w:val="24"/>
          <w:szCs w:val="24"/>
        </w:rPr>
        <w:t>Senior Product Manager</w:t>
      </w:r>
    </w:p>
    <w:p w:rsidR="003C277A" w:rsidRPr="005A18F6" w:rsidRDefault="003C277A" w:rsidP="003C277A">
      <w:pPr>
        <w:spacing w:line="276" w:lineRule="auto"/>
        <w:jc w:val="right"/>
        <w:rPr>
          <w:sz w:val="24"/>
          <w:szCs w:val="24"/>
        </w:rPr>
      </w:pPr>
      <w:r w:rsidRPr="005A18F6">
        <w:rPr>
          <w:sz w:val="24"/>
          <w:szCs w:val="24"/>
        </w:rPr>
        <w:t>Blake.Perdue@ingramcontent.com</w:t>
      </w:r>
    </w:p>
    <w:p w:rsidR="005F747F" w:rsidRPr="005A18F6" w:rsidRDefault="005F747F" w:rsidP="002131C9">
      <w:pPr>
        <w:spacing w:line="276" w:lineRule="auto"/>
        <w:jc w:val="right"/>
        <w:rPr>
          <w:sz w:val="24"/>
          <w:szCs w:val="24"/>
          <w:highlight w:val="yellow"/>
        </w:rPr>
      </w:pPr>
      <w:bookmarkStart w:id="2" w:name="_GoBack"/>
      <w:bookmarkEnd w:id="2"/>
    </w:p>
    <w:p w:rsidR="00560358" w:rsidRPr="005A18F6" w:rsidRDefault="00560358" w:rsidP="002131C9">
      <w:pPr>
        <w:spacing w:line="276" w:lineRule="auto"/>
        <w:outlineLvl w:val="0"/>
        <w:rPr>
          <w:sz w:val="24"/>
          <w:szCs w:val="24"/>
          <w:highlight w:val="yellow"/>
        </w:rPr>
      </w:pPr>
    </w:p>
    <w:p w:rsidR="00560358" w:rsidRPr="005A18F6" w:rsidRDefault="00560358" w:rsidP="002131C9">
      <w:pPr>
        <w:spacing w:line="276" w:lineRule="auto"/>
        <w:jc w:val="right"/>
        <w:outlineLvl w:val="0"/>
        <w:rPr>
          <w:sz w:val="24"/>
          <w:szCs w:val="24"/>
        </w:rPr>
      </w:pPr>
      <w:bookmarkStart w:id="3" w:name="_Toc319053169"/>
      <w:bookmarkStart w:id="4" w:name="_Toc319053255"/>
      <w:bookmarkStart w:id="5" w:name="_Toc361128874"/>
      <w:bookmarkStart w:id="6" w:name="_Toc365842795"/>
      <w:bookmarkStart w:id="7" w:name="_Toc365842948"/>
      <w:bookmarkStart w:id="8" w:name="_Toc380402518"/>
      <w:bookmarkStart w:id="9" w:name="_Toc380402564"/>
      <w:bookmarkStart w:id="10" w:name="_Toc380496263"/>
      <w:bookmarkStart w:id="11" w:name="_Toc387948013"/>
      <w:bookmarkStart w:id="12" w:name="_Toc414605397"/>
      <w:r w:rsidRPr="005A18F6">
        <w:rPr>
          <w:sz w:val="24"/>
          <w:szCs w:val="24"/>
        </w:rPr>
        <w:t>Prepared By:</w:t>
      </w:r>
      <w:bookmarkEnd w:id="0"/>
      <w:bookmarkEnd w:id="1"/>
      <w:bookmarkEnd w:id="3"/>
      <w:bookmarkEnd w:id="4"/>
      <w:bookmarkEnd w:id="5"/>
      <w:bookmarkEnd w:id="6"/>
      <w:bookmarkEnd w:id="7"/>
      <w:bookmarkEnd w:id="8"/>
      <w:bookmarkEnd w:id="9"/>
      <w:bookmarkEnd w:id="10"/>
      <w:bookmarkEnd w:id="11"/>
      <w:bookmarkEnd w:id="12"/>
      <w:r w:rsidRPr="005A18F6">
        <w:rPr>
          <w:sz w:val="24"/>
          <w:szCs w:val="24"/>
        </w:rPr>
        <w:t xml:space="preserve"> </w:t>
      </w:r>
    </w:p>
    <w:p w:rsidR="00560358" w:rsidRPr="005A18F6" w:rsidRDefault="00560358" w:rsidP="002131C9">
      <w:pPr>
        <w:pStyle w:val="BodyText"/>
        <w:tabs>
          <w:tab w:val="center" w:pos="5400"/>
          <w:tab w:val="right" w:pos="9720"/>
        </w:tabs>
        <w:spacing w:after="0" w:line="276" w:lineRule="auto"/>
        <w:ind w:left="720"/>
        <w:jc w:val="right"/>
        <w:rPr>
          <w:spacing w:val="0"/>
          <w:sz w:val="24"/>
          <w:szCs w:val="24"/>
        </w:rPr>
      </w:pPr>
      <w:r w:rsidRPr="005A18F6">
        <w:rPr>
          <w:spacing w:val="0"/>
          <w:sz w:val="24"/>
          <w:szCs w:val="24"/>
        </w:rPr>
        <w:t>Tech For All, Inc.</w:t>
      </w:r>
    </w:p>
    <w:p w:rsidR="00560358" w:rsidRPr="005A18F6" w:rsidRDefault="000A436F" w:rsidP="002131C9">
      <w:pPr>
        <w:pStyle w:val="BodyText"/>
        <w:tabs>
          <w:tab w:val="center" w:pos="5400"/>
          <w:tab w:val="right" w:pos="9720"/>
        </w:tabs>
        <w:spacing w:after="0" w:line="276" w:lineRule="auto"/>
        <w:ind w:left="720"/>
        <w:jc w:val="right"/>
        <w:rPr>
          <w:i/>
          <w:spacing w:val="0"/>
          <w:sz w:val="24"/>
          <w:szCs w:val="24"/>
        </w:rPr>
      </w:pPr>
      <w:hyperlink r:id="rId11" w:history="1">
        <w:r w:rsidR="00560358" w:rsidRPr="005A18F6">
          <w:rPr>
            <w:rStyle w:val="Hyperlink"/>
            <w:i/>
            <w:spacing w:val="0"/>
            <w:sz w:val="24"/>
            <w:szCs w:val="24"/>
          </w:rPr>
          <w:t>www.TFAConsulting.com</w:t>
        </w:r>
      </w:hyperlink>
    </w:p>
    <w:p w:rsidR="00560358" w:rsidRPr="005A18F6" w:rsidRDefault="00560358" w:rsidP="002131C9">
      <w:pPr>
        <w:pStyle w:val="BodyText"/>
        <w:spacing w:after="0" w:line="276" w:lineRule="auto"/>
        <w:jc w:val="right"/>
        <w:rPr>
          <w:spacing w:val="0"/>
          <w:sz w:val="24"/>
          <w:szCs w:val="24"/>
        </w:rPr>
      </w:pPr>
    </w:p>
    <w:p w:rsidR="00560358" w:rsidRPr="00185E9C" w:rsidRDefault="00560358" w:rsidP="002131C9">
      <w:pPr>
        <w:spacing w:line="276" w:lineRule="auto"/>
        <w:jc w:val="right"/>
        <w:rPr>
          <w:sz w:val="24"/>
        </w:rPr>
      </w:pPr>
    </w:p>
    <w:p w:rsidR="00560358" w:rsidRPr="00185E9C" w:rsidRDefault="00560358" w:rsidP="002131C9">
      <w:pPr>
        <w:pStyle w:val="BodyText"/>
        <w:tabs>
          <w:tab w:val="center" w:pos="5400"/>
          <w:tab w:val="right" w:pos="9720"/>
        </w:tabs>
        <w:spacing w:after="0" w:line="276" w:lineRule="auto"/>
        <w:ind w:left="720"/>
        <w:jc w:val="right"/>
        <w:rPr>
          <w:spacing w:val="0"/>
          <w:sz w:val="28"/>
          <w:highlight w:val="yellow"/>
        </w:rPr>
      </w:pPr>
    </w:p>
    <w:p w:rsidR="00560358" w:rsidRPr="005A18F6" w:rsidRDefault="00260D92" w:rsidP="002131C9">
      <w:pPr>
        <w:tabs>
          <w:tab w:val="center" w:pos="4680"/>
          <w:tab w:val="right" w:pos="9000"/>
        </w:tabs>
        <w:spacing w:line="276" w:lineRule="auto"/>
        <w:jc w:val="right"/>
        <w:rPr>
          <w:sz w:val="24"/>
          <w:szCs w:val="24"/>
        </w:rPr>
      </w:pPr>
      <w:r w:rsidRPr="005A18F6">
        <w:rPr>
          <w:sz w:val="24"/>
          <w:szCs w:val="24"/>
        </w:rPr>
        <w:t>February 2</w:t>
      </w:r>
      <w:r w:rsidR="005F747F" w:rsidRPr="005A18F6">
        <w:rPr>
          <w:sz w:val="24"/>
          <w:szCs w:val="24"/>
        </w:rPr>
        <w:t>7</w:t>
      </w:r>
      <w:r w:rsidRPr="005A18F6">
        <w:rPr>
          <w:sz w:val="24"/>
          <w:szCs w:val="24"/>
        </w:rPr>
        <w:t>, 2017</w:t>
      </w:r>
    </w:p>
    <w:p w:rsidR="00560358" w:rsidRPr="005A18F6" w:rsidRDefault="00560358" w:rsidP="002131C9">
      <w:pPr>
        <w:tabs>
          <w:tab w:val="center" w:pos="4680"/>
          <w:tab w:val="right" w:pos="9000"/>
        </w:tabs>
        <w:spacing w:line="276" w:lineRule="auto"/>
        <w:jc w:val="right"/>
        <w:rPr>
          <w:sz w:val="24"/>
          <w:szCs w:val="24"/>
        </w:rPr>
      </w:pPr>
      <w:r w:rsidRPr="005A18F6">
        <w:rPr>
          <w:sz w:val="24"/>
          <w:szCs w:val="24"/>
        </w:rPr>
        <w:t>Rev 1.</w:t>
      </w:r>
      <w:r w:rsidR="00996E4D" w:rsidRPr="005A18F6">
        <w:rPr>
          <w:sz w:val="24"/>
          <w:szCs w:val="24"/>
        </w:rPr>
        <w:t>0</w:t>
      </w:r>
    </w:p>
    <w:p w:rsidR="00BB5BAF" w:rsidRPr="00765E22" w:rsidRDefault="006C76E4" w:rsidP="00F832BB">
      <w:pPr>
        <w:pStyle w:val="Heading1"/>
        <w:rPr>
          <w:caps/>
        </w:rPr>
      </w:pPr>
      <w:r w:rsidRPr="005A18F6">
        <w:rPr>
          <w:sz w:val="24"/>
          <w:szCs w:val="24"/>
        </w:rPr>
        <w:br w:type="page"/>
      </w:r>
      <w:bookmarkStart w:id="13" w:name="_Toc363360997"/>
      <w:bookmarkStart w:id="14" w:name="_Toc414605417"/>
      <w:bookmarkStart w:id="15" w:name="_Toc230657638"/>
      <w:r w:rsidR="00BB5BAF">
        <w:lastRenderedPageBreak/>
        <w:t xml:space="preserve">VPAT for </w:t>
      </w:r>
      <w:r w:rsidR="007E1FF0">
        <w:t xml:space="preserve">Bookshelf </w:t>
      </w:r>
      <w:r w:rsidR="00D57C4C">
        <w:t>Macintosh</w:t>
      </w:r>
      <w:r w:rsidR="00BB5BAF">
        <w:t xml:space="preserve"> </w:t>
      </w:r>
      <w:r w:rsidR="00E03BD9">
        <w:t xml:space="preserve">Desktop </w:t>
      </w:r>
      <w:r w:rsidR="00BB5BAF">
        <w:t>Platform</w:t>
      </w:r>
      <w:bookmarkEnd w:id="13"/>
      <w:bookmarkEnd w:id="14"/>
    </w:p>
    <w:p w:rsidR="00BB5BAF" w:rsidRDefault="00BB5BAF" w:rsidP="00BB5BAF">
      <w:pPr>
        <w:pStyle w:val="CommentText"/>
        <w:spacing w:after="240" w:line="276" w:lineRule="auto"/>
        <w:rPr>
          <w:sz w:val="24"/>
          <w:szCs w:val="24"/>
        </w:rPr>
      </w:pPr>
      <w:r>
        <w:rPr>
          <w:sz w:val="24"/>
          <w:szCs w:val="24"/>
        </w:rPr>
        <w:t xml:space="preserve">TFA’s team evaluated the </w:t>
      </w:r>
      <w:r w:rsidR="002D4496">
        <w:rPr>
          <w:sz w:val="24"/>
          <w:szCs w:val="24"/>
        </w:rPr>
        <w:t xml:space="preserve">Bookshelf </w:t>
      </w:r>
      <w:r w:rsidR="00D57C4C">
        <w:rPr>
          <w:sz w:val="24"/>
          <w:szCs w:val="24"/>
        </w:rPr>
        <w:t>Macintosh</w:t>
      </w:r>
      <w:r>
        <w:rPr>
          <w:sz w:val="24"/>
          <w:szCs w:val="24"/>
        </w:rPr>
        <w:t xml:space="preserve"> </w:t>
      </w:r>
      <w:r w:rsidR="000D3703">
        <w:rPr>
          <w:sz w:val="24"/>
          <w:szCs w:val="24"/>
          <w:lang w:val="en-US"/>
        </w:rPr>
        <w:t>7.</w:t>
      </w:r>
      <w:r w:rsidR="00765E22">
        <w:rPr>
          <w:sz w:val="24"/>
          <w:szCs w:val="24"/>
          <w:lang w:val="en-US"/>
        </w:rPr>
        <w:t>0</w:t>
      </w:r>
      <w:r w:rsidR="00011091">
        <w:rPr>
          <w:sz w:val="24"/>
          <w:szCs w:val="24"/>
          <w:lang w:val="en-US"/>
        </w:rPr>
        <w:t xml:space="preserve"> (2</w:t>
      </w:r>
      <w:r w:rsidR="00765E22">
        <w:rPr>
          <w:sz w:val="24"/>
          <w:szCs w:val="24"/>
          <w:lang w:val="en-US"/>
        </w:rPr>
        <w:t>429</w:t>
      </w:r>
      <w:r w:rsidR="00011091">
        <w:rPr>
          <w:sz w:val="24"/>
          <w:szCs w:val="24"/>
          <w:lang w:val="en-US"/>
        </w:rPr>
        <w:t>)</w:t>
      </w:r>
      <w:r w:rsidR="000D3703">
        <w:rPr>
          <w:sz w:val="24"/>
          <w:szCs w:val="24"/>
          <w:lang w:val="en-US"/>
        </w:rPr>
        <w:t xml:space="preserve"> </w:t>
      </w:r>
      <w:r w:rsidR="00E03BD9">
        <w:rPr>
          <w:sz w:val="24"/>
          <w:szCs w:val="24"/>
          <w:lang w:val="en-US"/>
        </w:rPr>
        <w:t xml:space="preserve">Desktop </w:t>
      </w:r>
      <w:r w:rsidR="002D4496">
        <w:rPr>
          <w:sz w:val="24"/>
          <w:szCs w:val="24"/>
        </w:rPr>
        <w:t xml:space="preserve">platform </w:t>
      </w:r>
      <w:r>
        <w:rPr>
          <w:sz w:val="24"/>
          <w:szCs w:val="24"/>
        </w:rPr>
        <w:t xml:space="preserve">for accessibility, and identified and addressed various accessibility features and functionalities associated with </w:t>
      </w:r>
      <w:r w:rsidR="002D4496">
        <w:rPr>
          <w:sz w:val="24"/>
          <w:szCs w:val="24"/>
        </w:rPr>
        <w:t>the platform</w:t>
      </w:r>
      <w:r>
        <w:rPr>
          <w:sz w:val="24"/>
          <w:szCs w:val="24"/>
        </w:rPr>
        <w:t xml:space="preserve">. The evaluation generated sufficient information to assess the degree to which the </w:t>
      </w:r>
      <w:r w:rsidR="002D4496">
        <w:rPr>
          <w:sz w:val="24"/>
          <w:szCs w:val="24"/>
        </w:rPr>
        <w:t xml:space="preserve">platform </w:t>
      </w:r>
      <w:r>
        <w:rPr>
          <w:sz w:val="24"/>
          <w:szCs w:val="24"/>
        </w:rPr>
        <w:t xml:space="preserve">conforms with the Section 508 Accessibility Standards. TFA concludes that overall, the </w:t>
      </w:r>
      <w:r w:rsidR="007E1FF0">
        <w:rPr>
          <w:sz w:val="24"/>
          <w:szCs w:val="24"/>
          <w:lang w:val="en-US"/>
        </w:rPr>
        <w:t xml:space="preserve">Bookshelf </w:t>
      </w:r>
      <w:r w:rsidR="00D57C4C">
        <w:rPr>
          <w:sz w:val="24"/>
          <w:szCs w:val="24"/>
        </w:rPr>
        <w:t>Macintosh</w:t>
      </w:r>
      <w:r w:rsidR="00223DF3">
        <w:rPr>
          <w:sz w:val="24"/>
          <w:szCs w:val="24"/>
        </w:rPr>
        <w:t xml:space="preserve"> </w:t>
      </w:r>
      <w:r w:rsidR="00E03BD9">
        <w:rPr>
          <w:sz w:val="24"/>
          <w:szCs w:val="24"/>
          <w:lang w:val="en-US"/>
        </w:rPr>
        <w:t xml:space="preserve">Desktop </w:t>
      </w:r>
      <w:r w:rsidR="002D4496">
        <w:rPr>
          <w:sz w:val="24"/>
          <w:szCs w:val="24"/>
        </w:rPr>
        <w:t xml:space="preserve">platform </w:t>
      </w:r>
      <w:r>
        <w:rPr>
          <w:sz w:val="24"/>
          <w:szCs w:val="24"/>
        </w:rPr>
        <w:t>mostly conform</w:t>
      </w:r>
      <w:r w:rsidR="005556B4">
        <w:rPr>
          <w:sz w:val="24"/>
          <w:szCs w:val="24"/>
          <w:lang w:val="en-US"/>
        </w:rPr>
        <w:t>s</w:t>
      </w:r>
      <w:r>
        <w:rPr>
          <w:sz w:val="24"/>
          <w:szCs w:val="24"/>
        </w:rPr>
        <w:t xml:space="preserve"> with the standards with a few exceptions that are identified in the VPAT document. The VPAT for the </w:t>
      </w:r>
      <w:r w:rsidR="005556B4">
        <w:rPr>
          <w:sz w:val="24"/>
          <w:szCs w:val="24"/>
          <w:lang w:val="en-US"/>
        </w:rPr>
        <w:t xml:space="preserve">platform </w:t>
      </w:r>
      <w:r>
        <w:rPr>
          <w:sz w:val="24"/>
          <w:szCs w:val="24"/>
        </w:rPr>
        <w:t xml:space="preserve">is based on the findings in this evaluation. </w:t>
      </w:r>
      <w:r>
        <w:rPr>
          <w:i/>
          <w:sz w:val="24"/>
          <w:szCs w:val="24"/>
        </w:rPr>
        <w:t xml:space="preserve">Note that the scope of the VPAT document is the </w:t>
      </w:r>
      <w:r w:rsidR="002D4496">
        <w:rPr>
          <w:i/>
          <w:sz w:val="24"/>
          <w:szCs w:val="24"/>
        </w:rPr>
        <w:t xml:space="preserve">Bookshelf platform </w:t>
      </w:r>
      <w:r>
        <w:rPr>
          <w:i/>
          <w:sz w:val="24"/>
          <w:szCs w:val="24"/>
        </w:rPr>
        <w:t xml:space="preserve">itself, and does not include the content (books). </w:t>
      </w:r>
    </w:p>
    <w:p w:rsidR="00411404" w:rsidRPr="00411404" w:rsidRDefault="003071CE" w:rsidP="00411404">
      <w:pPr>
        <w:spacing w:line="276" w:lineRule="auto"/>
        <w:rPr>
          <w:sz w:val="24"/>
          <w:szCs w:val="24"/>
        </w:rPr>
      </w:pPr>
      <w:r w:rsidRPr="000F6F60">
        <w:rPr>
          <w:sz w:val="24"/>
          <w:szCs w:val="24"/>
        </w:rPr>
        <w:t>The Information Technology Industry Council (ITIC) has published recommended language to be used in completing VPAT documents that has been designed to create simplicity and uniformity/consistency in VPATs presented by a variety of suppliers.  In preparing the VPAT</w:t>
      </w:r>
      <w:r w:rsidR="00D43010">
        <w:rPr>
          <w:sz w:val="24"/>
          <w:szCs w:val="24"/>
        </w:rPr>
        <w:t xml:space="preserve"> for the Bookshelf Macintosh Desktop platform</w:t>
      </w:r>
      <w:r w:rsidRPr="000F6F60">
        <w:rPr>
          <w:sz w:val="24"/>
          <w:szCs w:val="24"/>
        </w:rPr>
        <w:t xml:space="preserve">, TFA has used the ITIC-recommended </w:t>
      </w:r>
      <w:r w:rsidRPr="000F6F60">
        <w:rPr>
          <w:i/>
          <w:iCs/>
          <w:sz w:val="24"/>
          <w:szCs w:val="24"/>
        </w:rPr>
        <w:t>VPAT Summary Description and Suggested Language for Completing VPAT</w:t>
      </w:r>
      <w:r w:rsidRPr="000F6F60">
        <w:rPr>
          <w:sz w:val="24"/>
          <w:szCs w:val="24"/>
        </w:rPr>
        <w:t xml:space="preserve"> that can be found in </w:t>
      </w:r>
      <w:r w:rsidRPr="000F6F60">
        <w:rPr>
          <w:i/>
          <w:sz w:val="24"/>
          <w:szCs w:val="24"/>
        </w:rPr>
        <w:t>Appendix A</w:t>
      </w:r>
      <w:r w:rsidRPr="000F6F60">
        <w:rPr>
          <w:sz w:val="24"/>
          <w:szCs w:val="24"/>
        </w:rPr>
        <w:t>.</w:t>
      </w:r>
      <w:r w:rsidR="00411404">
        <w:rPr>
          <w:sz w:val="24"/>
          <w:szCs w:val="24"/>
        </w:rPr>
        <w:t xml:space="preserve"> </w:t>
      </w:r>
      <w:r w:rsidR="00411404" w:rsidRPr="00411404">
        <w:rPr>
          <w:sz w:val="24"/>
          <w:szCs w:val="24"/>
        </w:rPr>
        <w:t xml:space="preserve">The VPAT document includes the following tables: Table 1: Section 1194.21 Software Applications and Operating Systems, Table </w:t>
      </w:r>
      <w:r w:rsidR="00411404">
        <w:rPr>
          <w:sz w:val="24"/>
          <w:szCs w:val="24"/>
        </w:rPr>
        <w:t>2</w:t>
      </w:r>
      <w:r w:rsidR="00411404" w:rsidRPr="00411404">
        <w:rPr>
          <w:sz w:val="24"/>
          <w:szCs w:val="24"/>
        </w:rPr>
        <w:t xml:space="preserve">: Section 1194.31 Functional Performance Criteria, and Table </w:t>
      </w:r>
      <w:r w:rsidR="00411404">
        <w:rPr>
          <w:sz w:val="24"/>
          <w:szCs w:val="24"/>
        </w:rPr>
        <w:t>3</w:t>
      </w:r>
      <w:r w:rsidR="00411404" w:rsidRPr="00411404">
        <w:rPr>
          <w:sz w:val="24"/>
          <w:szCs w:val="24"/>
        </w:rPr>
        <w:t xml:space="preserve">: Section 1194.41 Information, Documentation, and Support. </w:t>
      </w:r>
    </w:p>
    <w:p w:rsidR="003071CE" w:rsidRDefault="003071CE" w:rsidP="003071CE">
      <w:pPr>
        <w:spacing w:line="276" w:lineRule="auto"/>
        <w:rPr>
          <w:sz w:val="24"/>
          <w:szCs w:val="24"/>
        </w:rPr>
      </w:pPr>
    </w:p>
    <w:p w:rsidR="003071CE" w:rsidRPr="000F6F60" w:rsidRDefault="003071CE" w:rsidP="003071CE">
      <w:pPr>
        <w:spacing w:line="276" w:lineRule="auto"/>
        <w:rPr>
          <w:sz w:val="24"/>
          <w:szCs w:val="24"/>
        </w:rPr>
      </w:pPr>
      <w:r w:rsidRPr="000F6F60">
        <w:rPr>
          <w:sz w:val="24"/>
          <w:szCs w:val="24"/>
        </w:rPr>
        <w:t>Based on this evaluation and information published on the ITIC website (</w:t>
      </w:r>
      <w:hyperlink r:id="rId12" w:history="1">
        <w:r w:rsidRPr="000F6F60">
          <w:rPr>
            <w:rStyle w:val="Hyperlink"/>
            <w:sz w:val="24"/>
            <w:szCs w:val="24"/>
          </w:rPr>
          <w:t>http://www.itic.org</w:t>
        </w:r>
      </w:hyperlink>
      <w:r w:rsidRPr="000F6F60">
        <w:rPr>
          <w:sz w:val="24"/>
          <w:szCs w:val="24"/>
          <w:u w:val="single"/>
        </w:rPr>
        <w:t>)</w:t>
      </w:r>
      <w:r w:rsidRPr="000F6F60">
        <w:rPr>
          <w:sz w:val="24"/>
          <w:szCs w:val="24"/>
        </w:rPr>
        <w:t xml:space="preserve">, TFA presents the following VPAT document for the </w:t>
      </w:r>
      <w:r w:rsidRPr="003071CE">
        <w:rPr>
          <w:i/>
          <w:sz w:val="24"/>
          <w:szCs w:val="24"/>
        </w:rPr>
        <w:t xml:space="preserve">Bookshelf Macintosh </w:t>
      </w:r>
      <w:r w:rsidR="00765E22" w:rsidRPr="00765E22">
        <w:rPr>
          <w:i/>
          <w:sz w:val="24"/>
          <w:szCs w:val="24"/>
        </w:rPr>
        <w:t xml:space="preserve">7.0 (2429) </w:t>
      </w:r>
      <w:r w:rsidR="00E03BD9">
        <w:rPr>
          <w:i/>
          <w:sz w:val="24"/>
          <w:szCs w:val="24"/>
        </w:rPr>
        <w:t xml:space="preserve">Desktop </w:t>
      </w:r>
      <w:r w:rsidRPr="000F6F60">
        <w:rPr>
          <w:i/>
          <w:sz w:val="24"/>
          <w:szCs w:val="24"/>
        </w:rPr>
        <w:t>platform</w:t>
      </w:r>
      <w:r w:rsidRPr="000F6F60">
        <w:rPr>
          <w:sz w:val="24"/>
          <w:szCs w:val="24"/>
        </w:rPr>
        <w:t>, as laid out in the following tables:</w:t>
      </w:r>
    </w:p>
    <w:p w:rsidR="00F85ED8" w:rsidRDefault="00F85ED8" w:rsidP="00BB5BAF">
      <w:pPr>
        <w:rPr>
          <w:b/>
          <w:sz w:val="24"/>
          <w:szCs w:val="24"/>
        </w:rPr>
      </w:pPr>
    </w:p>
    <w:p w:rsidR="00BB5BAF" w:rsidRDefault="00BB5BAF" w:rsidP="00260D92">
      <w:pPr>
        <w:pStyle w:val="Heading2"/>
      </w:pPr>
      <w:r>
        <w:t>Table 1: Section 1194.21 Software Applications and Operating Systems – Detail</w:t>
      </w:r>
    </w:p>
    <w:p w:rsidR="00BB5BAF" w:rsidRDefault="00BB5BAF" w:rsidP="00BB5BA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2817"/>
        <w:gridCol w:w="3019"/>
      </w:tblGrid>
      <w:tr w:rsidR="00BB5BAF" w:rsidTr="003071CE">
        <w:tc>
          <w:tcPr>
            <w:tcW w:w="3603"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Criteria</w:t>
            </w:r>
          </w:p>
          <w:p w:rsidR="00BB5BAF" w:rsidRDefault="00BB5BAF">
            <w:pPr>
              <w:rPr>
                <w:b/>
              </w:rPr>
            </w:pPr>
          </w:p>
        </w:tc>
        <w:tc>
          <w:tcPr>
            <w:tcW w:w="2895"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Level of Support &amp; Supporting Features</w:t>
            </w:r>
          </w:p>
        </w:tc>
        <w:tc>
          <w:tcPr>
            <w:tcW w:w="3078" w:type="dxa"/>
            <w:tcBorders>
              <w:top w:val="single" w:sz="4" w:space="0" w:color="auto"/>
              <w:left w:val="single" w:sz="4" w:space="0" w:color="auto"/>
              <w:bottom w:val="single" w:sz="4" w:space="0" w:color="auto"/>
              <w:right w:val="single" w:sz="4" w:space="0" w:color="auto"/>
            </w:tcBorders>
            <w:hideMark/>
          </w:tcPr>
          <w:p w:rsidR="00BB5BAF" w:rsidRDefault="00BB5BAF">
            <w:pPr>
              <w:rPr>
                <w:b/>
                <w:lang w:val="ru-RU"/>
              </w:rPr>
            </w:pPr>
            <w:r>
              <w:rPr>
                <w:b/>
              </w:rPr>
              <w:t>Remarks and explanations</w:t>
            </w:r>
          </w:p>
        </w:tc>
      </w:tr>
      <w:tr w:rsidR="00BB5BAF" w:rsidTr="003071CE">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(a) When software is designed to run on a system that has a keyboard, product functions shall be executable from a keyboard where the function itself or the result of performing a function can be discerned textually.</w:t>
            </w:r>
          </w:p>
        </w:tc>
        <w:tc>
          <w:tcPr>
            <w:tcW w:w="2895" w:type="dxa"/>
            <w:tcBorders>
              <w:top w:val="single" w:sz="4" w:space="0" w:color="auto"/>
              <w:left w:val="single" w:sz="4" w:space="0" w:color="auto"/>
              <w:bottom w:val="single" w:sz="4" w:space="0" w:color="auto"/>
              <w:right w:val="single" w:sz="4" w:space="0" w:color="auto"/>
            </w:tcBorders>
          </w:tcPr>
          <w:p w:rsidR="00BB5BAF" w:rsidRDefault="00BB5BAF">
            <w:pPr>
              <w:spacing w:before="120"/>
              <w:rPr>
                <w:b/>
                <w:color w:val="000000"/>
              </w:rPr>
            </w:pPr>
            <w:r>
              <w:rPr>
                <w:b/>
                <w:color w:val="000000"/>
              </w:rPr>
              <w:t>Supports with Exceptions</w:t>
            </w:r>
          </w:p>
          <w:p w:rsidR="00BB5BAF" w:rsidRDefault="00BB5BAF">
            <w:pPr>
              <w:autoSpaceDE w:val="0"/>
              <w:autoSpaceDN w:val="0"/>
              <w:adjustRightInd w:val="0"/>
            </w:pPr>
          </w:p>
          <w:p w:rsidR="00BB5BAF" w:rsidRDefault="00BB5BAF">
            <w:pPr>
              <w:autoSpaceDE w:val="0"/>
              <w:autoSpaceDN w:val="0"/>
              <w:adjustRightInd w:val="0"/>
            </w:pPr>
          </w:p>
        </w:tc>
        <w:tc>
          <w:tcPr>
            <w:tcW w:w="3078" w:type="dxa"/>
            <w:tcBorders>
              <w:top w:val="single" w:sz="4" w:space="0" w:color="auto"/>
              <w:left w:val="single" w:sz="4" w:space="0" w:color="auto"/>
              <w:bottom w:val="single" w:sz="4" w:space="0" w:color="auto"/>
              <w:right w:val="single" w:sz="4" w:space="0" w:color="auto"/>
            </w:tcBorders>
          </w:tcPr>
          <w:p w:rsidR="00BB5BAF" w:rsidRDefault="00BB5BAF">
            <w:pPr>
              <w:spacing w:before="120"/>
            </w:pPr>
            <w:r>
              <w:t xml:space="preserve">Bookshelf provides keyboard access to nearly all functions and exposes information to assistive technology. </w:t>
            </w:r>
            <w:proofErr w:type="spellStart"/>
            <w:r>
              <w:t>VoiceOver</w:t>
            </w:r>
            <w:proofErr w:type="spellEnd"/>
            <w:r>
              <w:t xml:space="preserve"> is required for interacting with book content, such as selecting text for notes and highlights or activating hyperlinks.</w:t>
            </w:r>
          </w:p>
          <w:p w:rsidR="00CA0FFF" w:rsidRDefault="0006079A">
            <w:pPr>
              <w:spacing w:before="120"/>
            </w:pPr>
            <w:r>
              <w:t>A few</w:t>
            </w:r>
            <w:r w:rsidR="002E75FA">
              <w:t xml:space="preserve"> user interface elements do not receive visible focus without </w:t>
            </w:r>
            <w:proofErr w:type="spellStart"/>
            <w:r w:rsidR="002E75FA">
              <w:t>VoiceOver</w:t>
            </w:r>
            <w:proofErr w:type="spellEnd"/>
            <w:r w:rsidR="002E75FA">
              <w:t xml:space="preserve"> enabled</w:t>
            </w:r>
            <w:r>
              <w:t xml:space="preserve"> (e.g. color controls in the Preferences dialog)</w:t>
            </w:r>
            <w:r w:rsidR="002E75FA">
              <w:t>.</w:t>
            </w:r>
            <w:r w:rsidR="00CA0FFF">
              <w:t xml:space="preserve"> </w:t>
            </w:r>
          </w:p>
          <w:p w:rsidR="00E20C21" w:rsidRDefault="00E20C21">
            <w:pPr>
              <w:spacing w:before="120"/>
            </w:pPr>
          </w:p>
          <w:p w:rsidR="00E20C21" w:rsidRDefault="00E20C21">
            <w:pPr>
              <w:spacing w:before="120"/>
              <w:rPr>
                <w:color w:val="000000"/>
              </w:rPr>
            </w:pPr>
          </w:p>
        </w:tc>
      </w:tr>
      <w:tr w:rsidR="00BB5BAF" w:rsidTr="003071CE">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895" w:type="dxa"/>
            <w:tcBorders>
              <w:top w:val="single" w:sz="4" w:space="0" w:color="auto"/>
              <w:left w:val="single" w:sz="4" w:space="0" w:color="auto"/>
              <w:bottom w:val="single" w:sz="4" w:space="0" w:color="auto"/>
              <w:right w:val="single" w:sz="4" w:space="0" w:color="auto"/>
            </w:tcBorders>
          </w:tcPr>
          <w:p w:rsidR="00BB5BAF" w:rsidRDefault="00BB5BAF">
            <w:pPr>
              <w:spacing w:before="120"/>
              <w:rPr>
                <w:b/>
                <w:color w:val="000000"/>
              </w:rPr>
            </w:pPr>
            <w:r>
              <w:rPr>
                <w:b/>
                <w:color w:val="000000"/>
              </w:rPr>
              <w:t>Supports</w:t>
            </w:r>
          </w:p>
          <w:p w:rsidR="00BB5BAF" w:rsidRDefault="00BB5BAF">
            <w:pPr>
              <w:autoSpaceDE w:val="0"/>
              <w:autoSpaceDN w:val="0"/>
              <w:adjustRightInd w:val="0"/>
            </w:pPr>
          </w:p>
        </w:tc>
        <w:tc>
          <w:tcPr>
            <w:tcW w:w="3078" w:type="dxa"/>
            <w:tcBorders>
              <w:top w:val="single" w:sz="4" w:space="0" w:color="auto"/>
              <w:left w:val="single" w:sz="4" w:space="0" w:color="auto"/>
              <w:bottom w:val="single" w:sz="4" w:space="0" w:color="auto"/>
              <w:right w:val="single" w:sz="4" w:space="0" w:color="auto"/>
            </w:tcBorders>
            <w:hideMark/>
          </w:tcPr>
          <w:p w:rsidR="00BB5BAF" w:rsidRDefault="00BB5BAF" w:rsidP="00D57C4C">
            <w:pPr>
              <w:spacing w:before="120"/>
              <w:rPr>
                <w:b/>
                <w:color w:val="000000"/>
              </w:rPr>
            </w:pPr>
            <w:r>
              <w:t xml:space="preserve">Bookshelf does not interfere with </w:t>
            </w:r>
            <w:proofErr w:type="spellStart"/>
            <w:r w:rsidR="00D57C4C">
              <w:t>Mac</w:t>
            </w:r>
            <w:r>
              <w:t>OS</w:t>
            </w:r>
            <w:proofErr w:type="spellEnd"/>
            <w:r>
              <w:t xml:space="preserve"> accessibility features including </w:t>
            </w:r>
            <w:proofErr w:type="spellStart"/>
            <w:r>
              <w:t>VoiceOver</w:t>
            </w:r>
            <w:proofErr w:type="spellEnd"/>
            <w:r>
              <w:t xml:space="preserve"> and Zoom.</w:t>
            </w:r>
          </w:p>
        </w:tc>
      </w:tr>
      <w:tr w:rsidR="00BB5BAF" w:rsidTr="003071CE">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895" w:type="dxa"/>
            <w:tcBorders>
              <w:top w:val="single" w:sz="4" w:space="0" w:color="auto"/>
              <w:left w:val="single" w:sz="4" w:space="0" w:color="auto"/>
              <w:bottom w:val="single" w:sz="4" w:space="0" w:color="auto"/>
              <w:right w:val="single" w:sz="4" w:space="0" w:color="auto"/>
            </w:tcBorders>
          </w:tcPr>
          <w:p w:rsidR="00BB5BAF" w:rsidRDefault="0020480A">
            <w:pPr>
              <w:spacing w:before="120"/>
              <w:rPr>
                <w:b/>
                <w:color w:val="000000"/>
              </w:rPr>
            </w:pPr>
            <w:r>
              <w:rPr>
                <w:b/>
                <w:color w:val="000000"/>
              </w:rPr>
              <w:t>Supports</w:t>
            </w:r>
          </w:p>
          <w:p w:rsidR="00BB5BAF" w:rsidRDefault="00BB5BAF">
            <w:pPr>
              <w:pStyle w:val="MediumGrid21"/>
              <w:rPr>
                <w:rFonts w:ascii="Times New Roman" w:hAnsi="Times New Roman"/>
              </w:rPr>
            </w:pPr>
          </w:p>
        </w:tc>
        <w:tc>
          <w:tcPr>
            <w:tcW w:w="3078" w:type="dxa"/>
            <w:tcBorders>
              <w:top w:val="single" w:sz="4" w:space="0" w:color="auto"/>
              <w:left w:val="single" w:sz="4" w:space="0" w:color="auto"/>
              <w:bottom w:val="single" w:sz="4" w:space="0" w:color="auto"/>
              <w:right w:val="single" w:sz="4" w:space="0" w:color="auto"/>
            </w:tcBorders>
          </w:tcPr>
          <w:p w:rsidR="00CA0FFF" w:rsidRPr="00CA0FFF" w:rsidRDefault="00BB5BAF" w:rsidP="0020480A">
            <w:pPr>
              <w:rPr>
                <w:color w:val="000000"/>
              </w:rPr>
            </w:pPr>
            <w:r>
              <w:rPr>
                <w:color w:val="000000"/>
              </w:rPr>
              <w:t>Clear indication of focus is provided throughout</w:t>
            </w:r>
            <w:r w:rsidR="0020480A">
              <w:rPr>
                <w:color w:val="000000"/>
              </w:rPr>
              <w:t xml:space="preserve"> the application user interface </w:t>
            </w:r>
            <w:r>
              <w:rPr>
                <w:color w:val="000000"/>
              </w:rPr>
              <w:t xml:space="preserve">when </w:t>
            </w:r>
            <w:proofErr w:type="spellStart"/>
            <w:r>
              <w:rPr>
                <w:color w:val="000000"/>
              </w:rPr>
              <w:t>VoiceOver</w:t>
            </w:r>
            <w:proofErr w:type="spellEnd"/>
            <w:r>
              <w:rPr>
                <w:color w:val="000000"/>
              </w:rPr>
              <w:t xml:space="preserve"> is turned on</w:t>
            </w:r>
            <w:r w:rsidR="00CA0FFF">
              <w:rPr>
                <w:color w:val="000000"/>
              </w:rPr>
              <w:t xml:space="preserve">, although </w:t>
            </w:r>
            <w:r w:rsidR="002E4F15">
              <w:rPr>
                <w:color w:val="000000"/>
              </w:rPr>
              <w:t>a small number of</w:t>
            </w:r>
            <w:r w:rsidR="00CA0FFF">
              <w:t xml:space="preserve"> user interface elements do not receive visible focus without </w:t>
            </w:r>
            <w:proofErr w:type="spellStart"/>
            <w:r w:rsidR="00CA0FFF">
              <w:t>VoiceOver</w:t>
            </w:r>
            <w:proofErr w:type="spellEnd"/>
            <w:r w:rsidR="00CA0FFF">
              <w:t xml:space="preserve"> enabled.</w:t>
            </w:r>
          </w:p>
          <w:p w:rsidR="00CA0FFF" w:rsidRDefault="00CA0FFF" w:rsidP="0020480A">
            <w:pPr>
              <w:rPr>
                <w:color w:val="000000"/>
              </w:rPr>
            </w:pPr>
          </w:p>
          <w:p w:rsidR="00BB5BAF" w:rsidRDefault="00BB5BAF" w:rsidP="00CA0FFF">
            <w:pPr>
              <w:rPr>
                <w:color w:val="000000"/>
              </w:rPr>
            </w:pPr>
            <w:r>
              <w:rPr>
                <w:color w:val="000000"/>
              </w:rPr>
              <w:t>Focus is programmatically exposed everywhere in the application and the book media.</w:t>
            </w:r>
          </w:p>
          <w:p w:rsidR="00E20C21" w:rsidRDefault="00E20C21" w:rsidP="00CA0FFF">
            <w:pPr>
              <w:rPr>
                <w:color w:val="000000"/>
              </w:rPr>
            </w:pPr>
          </w:p>
          <w:p w:rsidR="00E20C21" w:rsidRDefault="00E20C21" w:rsidP="00CA0FFF">
            <w:pPr>
              <w:rPr>
                <w:color w:val="000000"/>
              </w:rPr>
            </w:pPr>
          </w:p>
        </w:tc>
      </w:tr>
      <w:tr w:rsidR="00BB5BAF" w:rsidTr="003071CE">
        <w:tc>
          <w:tcPr>
            <w:tcW w:w="3603" w:type="dxa"/>
            <w:tcBorders>
              <w:top w:val="single" w:sz="4" w:space="0" w:color="auto"/>
              <w:left w:val="single" w:sz="4" w:space="0" w:color="auto"/>
              <w:bottom w:val="single" w:sz="4" w:space="0" w:color="auto"/>
              <w:right w:val="single" w:sz="4" w:space="0" w:color="auto"/>
            </w:tcBorders>
          </w:tcPr>
          <w:p w:rsidR="00BB5BAF" w:rsidRDefault="00BB5BAF">
            <w: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895" w:type="dxa"/>
            <w:tcBorders>
              <w:top w:val="single" w:sz="4" w:space="0" w:color="auto"/>
              <w:left w:val="single" w:sz="4" w:space="0" w:color="auto"/>
              <w:bottom w:val="single" w:sz="4" w:space="0" w:color="auto"/>
              <w:right w:val="single" w:sz="4" w:space="0" w:color="auto"/>
            </w:tcBorders>
            <w:hideMark/>
          </w:tcPr>
          <w:p w:rsidR="00BB5BAF" w:rsidRDefault="00BB5BAF" w:rsidP="008B2781">
            <w:pPr>
              <w:spacing w:before="120"/>
              <w:rPr>
                <w:b/>
                <w:color w:val="000000"/>
              </w:rPr>
            </w:pPr>
            <w:r>
              <w:rPr>
                <w:b/>
                <w:color w:val="000000"/>
              </w:rPr>
              <w:t>Supports</w:t>
            </w:r>
            <w:r w:rsidR="002E4F15">
              <w:rPr>
                <w:b/>
                <w:color w:val="000000"/>
              </w:rPr>
              <w:t xml:space="preserve"> with Exceptions</w:t>
            </w:r>
          </w:p>
        </w:tc>
        <w:tc>
          <w:tcPr>
            <w:tcW w:w="3078" w:type="dxa"/>
            <w:tcBorders>
              <w:top w:val="single" w:sz="4" w:space="0" w:color="auto"/>
              <w:left w:val="single" w:sz="4" w:space="0" w:color="auto"/>
              <w:bottom w:val="single" w:sz="4" w:space="0" w:color="auto"/>
              <w:right w:val="single" w:sz="4" w:space="0" w:color="auto"/>
            </w:tcBorders>
            <w:hideMark/>
          </w:tcPr>
          <w:p w:rsidR="00BB5BAF" w:rsidRDefault="00BB5BAF" w:rsidP="002E4F15">
            <w:pPr>
              <w:spacing w:before="120"/>
              <w:rPr>
                <w:color w:val="000000"/>
              </w:rPr>
            </w:pPr>
            <w:r>
              <w:rPr>
                <w:color w:val="000000"/>
              </w:rPr>
              <w:t>Bookshelf exposes information to assistive technology. Text descriptions</w:t>
            </w:r>
            <w:r w:rsidR="002E4F15">
              <w:rPr>
                <w:color w:val="000000"/>
              </w:rPr>
              <w:t>/labels</w:t>
            </w:r>
            <w:r>
              <w:rPr>
                <w:color w:val="000000"/>
              </w:rPr>
              <w:t xml:space="preserve"> are assigned to </w:t>
            </w:r>
            <w:r w:rsidR="008B2781">
              <w:rPr>
                <w:color w:val="000000"/>
              </w:rPr>
              <w:t>all</w:t>
            </w:r>
            <w:r>
              <w:rPr>
                <w:color w:val="000000"/>
              </w:rPr>
              <w:t xml:space="preserve"> controls</w:t>
            </w:r>
            <w:r w:rsidR="002E4F15">
              <w:rPr>
                <w:color w:val="000000"/>
              </w:rPr>
              <w:t>. All control roles are correctly identified except for highlighter drop-down in the book reader which is identified as a button.</w:t>
            </w:r>
            <w:r>
              <w:rPr>
                <w:color w:val="000000"/>
              </w:rPr>
              <w:br/>
            </w:r>
          </w:p>
        </w:tc>
      </w:tr>
      <w:tr w:rsidR="00BB5BAF" w:rsidTr="003071CE">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(e) When bitmap images are used to identify controls, status indicators, or other programmatic elements, the meaning assigned to those images shall be consistent throughout an application's performance.</w:t>
            </w:r>
          </w:p>
        </w:tc>
        <w:tc>
          <w:tcPr>
            <w:tcW w:w="289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07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t xml:space="preserve">Bookshelf uses images and icons in a consistent manner throughout the interface. </w:t>
            </w:r>
            <w:r>
              <w:rPr>
                <w:color w:val="000000"/>
              </w:rPr>
              <w:br/>
            </w:r>
          </w:p>
        </w:tc>
      </w:tr>
      <w:tr w:rsidR="00BB5BAF" w:rsidTr="003071CE">
        <w:tc>
          <w:tcPr>
            <w:tcW w:w="3603" w:type="dxa"/>
            <w:tcBorders>
              <w:top w:val="single" w:sz="4" w:space="0" w:color="auto"/>
              <w:left w:val="single" w:sz="4" w:space="0" w:color="auto"/>
              <w:bottom w:val="single" w:sz="4" w:space="0" w:color="auto"/>
              <w:right w:val="single" w:sz="4" w:space="0" w:color="auto"/>
            </w:tcBorders>
          </w:tcPr>
          <w:p w:rsidR="00BB5BAF" w:rsidRDefault="00BB5BAF">
            <w:r>
              <w:t xml:space="preserve">(f) Textual information shall be provided through operating system functions for displaying text. The </w:t>
            </w:r>
            <w:r>
              <w:lastRenderedPageBreak/>
              <w:t>minimum information that shall be made available is text content, text input caret location, and text attributes.</w:t>
            </w:r>
          </w:p>
          <w:p w:rsidR="00BB5BAF" w:rsidRDefault="00BB5BAF"/>
        </w:tc>
        <w:tc>
          <w:tcPr>
            <w:tcW w:w="289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lastRenderedPageBreak/>
              <w:t>Supports</w:t>
            </w:r>
          </w:p>
          <w:p w:rsidR="00BB5BAF" w:rsidRDefault="00BB5BAF">
            <w:pPr>
              <w:rPr>
                <w:color w:val="000000"/>
              </w:rPr>
            </w:pPr>
          </w:p>
          <w:p w:rsidR="00BB5BAF" w:rsidRDefault="00BB5BAF">
            <w:pPr>
              <w:spacing w:before="120"/>
              <w:rPr>
                <w:color w:val="000000"/>
              </w:rPr>
            </w:pPr>
          </w:p>
        </w:tc>
        <w:tc>
          <w:tcPr>
            <w:tcW w:w="307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lastRenderedPageBreak/>
              <w:t>Bookshelf exposes information to assistive technology.</w:t>
            </w:r>
          </w:p>
        </w:tc>
      </w:tr>
      <w:tr w:rsidR="00BB5BAF" w:rsidTr="003071CE">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(g) Applications shall not override user selected contrast and color selections and other individual display attributes.</w:t>
            </w:r>
          </w:p>
        </w:tc>
        <w:tc>
          <w:tcPr>
            <w:tcW w:w="289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078" w:type="dxa"/>
            <w:tcBorders>
              <w:top w:val="single" w:sz="4" w:space="0" w:color="auto"/>
              <w:left w:val="single" w:sz="4" w:space="0" w:color="auto"/>
              <w:bottom w:val="single" w:sz="4" w:space="0" w:color="auto"/>
              <w:right w:val="single" w:sz="4" w:space="0" w:color="auto"/>
            </w:tcBorders>
          </w:tcPr>
          <w:p w:rsidR="00BB5BAF" w:rsidRDefault="00BB5BAF">
            <w:pPr>
              <w:rPr>
                <w:color w:val="000000"/>
              </w:rPr>
            </w:pPr>
            <w:r>
              <w:rPr>
                <w:color w:val="000000"/>
              </w:rPr>
              <w:t>Bookshelf does not interfere with or override user-selected display settings.</w:t>
            </w:r>
          </w:p>
          <w:p w:rsidR="00BB5BAF" w:rsidRDefault="00BB5BAF">
            <w:pPr>
              <w:spacing w:before="120"/>
              <w:rPr>
                <w:color w:val="000000"/>
              </w:rPr>
            </w:pPr>
          </w:p>
        </w:tc>
      </w:tr>
      <w:tr w:rsidR="00BB5BAF" w:rsidTr="003071CE">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(h) When animation is displayed, the information shall be displayable in at least one non-animated presentation mode at the option of the user.</w:t>
            </w:r>
          </w:p>
        </w:tc>
        <w:tc>
          <w:tcPr>
            <w:tcW w:w="289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b/>
                <w:color w:val="000000"/>
                <w:highlight w:val="yellow"/>
              </w:rPr>
            </w:pPr>
          </w:p>
        </w:tc>
        <w:tc>
          <w:tcPr>
            <w:tcW w:w="3078" w:type="dxa"/>
            <w:tcBorders>
              <w:top w:val="single" w:sz="4" w:space="0" w:color="auto"/>
              <w:left w:val="single" w:sz="4" w:space="0" w:color="auto"/>
              <w:bottom w:val="single" w:sz="4" w:space="0" w:color="auto"/>
              <w:right w:val="single" w:sz="4" w:space="0" w:color="auto"/>
            </w:tcBorders>
          </w:tcPr>
          <w:p w:rsidR="00BB5BAF" w:rsidRDefault="00BB5BAF">
            <w:pPr>
              <w:rPr>
                <w:color w:val="000000"/>
              </w:rPr>
            </w:pPr>
            <w:r>
              <w:rPr>
                <w:color w:val="000000"/>
              </w:rPr>
              <w:t>Bookshelf supports the display of non-animated images as an alternate or poster frame. For XML based content the use of this is at the discretion of the content creator. PDF based content does not use animations.</w:t>
            </w:r>
          </w:p>
          <w:p w:rsidR="00BB5BAF" w:rsidRDefault="00BB5BAF">
            <w:pPr>
              <w:rPr>
                <w:color w:val="000000"/>
              </w:rPr>
            </w:pPr>
          </w:p>
        </w:tc>
      </w:tr>
      <w:tr w:rsidR="00BB5BAF" w:rsidTr="003071CE">
        <w:tc>
          <w:tcPr>
            <w:tcW w:w="3603" w:type="dxa"/>
            <w:tcBorders>
              <w:top w:val="single" w:sz="4" w:space="0" w:color="auto"/>
              <w:left w:val="single" w:sz="4" w:space="0" w:color="auto"/>
              <w:bottom w:val="single" w:sz="4" w:space="0" w:color="auto"/>
              <w:right w:val="single" w:sz="4" w:space="0" w:color="auto"/>
            </w:tcBorders>
          </w:tcPr>
          <w:p w:rsidR="00BB5BAF" w:rsidRDefault="00BB5BAF">
            <w:r>
              <w:t>(</w:t>
            </w:r>
            <w:proofErr w:type="spellStart"/>
            <w:r>
              <w:t>i</w:t>
            </w:r>
            <w:proofErr w:type="spellEnd"/>
            <w:r>
              <w:t>) Color coding shall not be used as the only means of conveying information, indicating an action, prompting a response, or distinguishing a visual element.</w:t>
            </w:r>
          </w:p>
          <w:p w:rsidR="00BB5BAF" w:rsidRDefault="00BB5BAF"/>
        </w:tc>
        <w:tc>
          <w:tcPr>
            <w:tcW w:w="289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078" w:type="dxa"/>
            <w:tcBorders>
              <w:top w:val="single" w:sz="4" w:space="0" w:color="auto"/>
              <w:left w:val="single" w:sz="4" w:space="0" w:color="auto"/>
              <w:bottom w:val="single" w:sz="4" w:space="0" w:color="auto"/>
              <w:right w:val="single" w:sz="4" w:space="0" w:color="auto"/>
            </w:tcBorders>
          </w:tcPr>
          <w:p w:rsidR="00BB5BAF" w:rsidRDefault="00BB5BAF">
            <w:pPr>
              <w:rPr>
                <w:color w:val="000000"/>
              </w:rPr>
            </w:pPr>
            <w:r>
              <w:rPr>
                <w:color w:val="000000"/>
              </w:rPr>
              <w:t>Bookshelf does not use color as the sole means of conveying information and can be used in grayscale screen mode without loss of comprehension. The only use of color coding is for highlighters. Since the user chooses the colors, they are at liberty to choose colors they can readily distinguish.</w:t>
            </w:r>
          </w:p>
          <w:p w:rsidR="00BB5BAF" w:rsidRDefault="00BB5BAF">
            <w:pPr>
              <w:rPr>
                <w:color w:val="000000"/>
                <w:highlight w:val="yellow"/>
              </w:rPr>
            </w:pPr>
          </w:p>
        </w:tc>
      </w:tr>
      <w:tr w:rsidR="00BB5BAF" w:rsidTr="003071CE">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(j) When a product permits a user to adjust color and contrast settings, a variety of color selections capable of producing a range of contrast levels shall be provided.</w:t>
            </w:r>
          </w:p>
        </w:tc>
        <w:tc>
          <w:tcPr>
            <w:tcW w:w="289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b/>
                <w:color w:val="000000"/>
                <w:highlight w:val="yellow"/>
              </w:rPr>
            </w:pPr>
          </w:p>
        </w:tc>
        <w:tc>
          <w:tcPr>
            <w:tcW w:w="3078" w:type="dxa"/>
            <w:tcBorders>
              <w:top w:val="single" w:sz="4" w:space="0" w:color="auto"/>
              <w:left w:val="single" w:sz="4" w:space="0" w:color="auto"/>
              <w:bottom w:val="single" w:sz="4" w:space="0" w:color="auto"/>
              <w:right w:val="single" w:sz="4" w:space="0" w:color="auto"/>
            </w:tcBorders>
          </w:tcPr>
          <w:p w:rsidR="00BB5BAF" w:rsidRDefault="00BB5BAF">
            <w:pPr>
              <w:rPr>
                <w:color w:val="000000"/>
              </w:rPr>
            </w:pPr>
            <w:r>
              <w:rPr>
                <w:color w:val="000000"/>
              </w:rPr>
              <w:t>The built-in color controls</w:t>
            </w:r>
            <w:r w:rsidR="00D57C4C">
              <w:rPr>
                <w:color w:val="000000"/>
              </w:rPr>
              <w:t xml:space="preserve"> are extremely flexible and </w:t>
            </w:r>
            <w:r>
              <w:rPr>
                <w:color w:val="000000"/>
              </w:rPr>
              <w:t>OS</w:t>
            </w:r>
            <w:r w:rsidR="0020480A">
              <w:rPr>
                <w:color w:val="000000"/>
              </w:rPr>
              <w:t>X</w:t>
            </w:r>
            <w:r>
              <w:rPr>
                <w:color w:val="000000"/>
              </w:rPr>
              <w:t xml:space="preserve"> high contrast </w:t>
            </w:r>
            <w:r w:rsidR="0020480A">
              <w:rPr>
                <w:color w:val="000000"/>
              </w:rPr>
              <w:t xml:space="preserve">mode </w:t>
            </w:r>
            <w:r>
              <w:rPr>
                <w:color w:val="000000"/>
              </w:rPr>
              <w:t>work</w:t>
            </w:r>
            <w:r w:rsidR="0020480A">
              <w:rPr>
                <w:color w:val="000000"/>
              </w:rPr>
              <w:t>s</w:t>
            </w:r>
            <w:r>
              <w:rPr>
                <w:color w:val="000000"/>
              </w:rPr>
              <w:t xml:space="preserve"> with the application.</w:t>
            </w:r>
          </w:p>
          <w:p w:rsidR="00BB5BAF" w:rsidRDefault="00BB5BAF">
            <w:pPr>
              <w:spacing w:before="120"/>
              <w:rPr>
                <w:color w:val="000000"/>
                <w:highlight w:val="yellow"/>
              </w:rPr>
            </w:pPr>
          </w:p>
        </w:tc>
      </w:tr>
      <w:tr w:rsidR="00BB5BAF" w:rsidTr="003071CE">
        <w:tc>
          <w:tcPr>
            <w:tcW w:w="3603" w:type="dxa"/>
            <w:tcBorders>
              <w:top w:val="single" w:sz="4" w:space="0" w:color="auto"/>
              <w:left w:val="single" w:sz="4" w:space="0" w:color="auto"/>
              <w:bottom w:val="single" w:sz="4" w:space="0" w:color="auto"/>
              <w:right w:val="single" w:sz="4" w:space="0" w:color="auto"/>
            </w:tcBorders>
          </w:tcPr>
          <w:p w:rsidR="00BB5BAF" w:rsidRDefault="00BB5BAF">
            <w:r>
              <w:t>(k) Software shall not use flashing or blinking text, objects, or other elements having a flash or blink frequency greater than 2 Hz and lower than 55 Hz.</w:t>
            </w:r>
          </w:p>
          <w:p w:rsidR="00BB5BAF" w:rsidRDefault="00BB5BAF"/>
        </w:tc>
        <w:tc>
          <w:tcPr>
            <w:tcW w:w="289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b/>
                <w:color w:val="000000"/>
                <w:highlight w:val="yellow"/>
              </w:rPr>
            </w:pPr>
          </w:p>
        </w:tc>
        <w:tc>
          <w:tcPr>
            <w:tcW w:w="307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highlight w:val="yellow"/>
              </w:rPr>
            </w:pPr>
            <w:r>
              <w:rPr>
                <w:color w:val="000000"/>
              </w:rPr>
              <w:t>Bookshelf does not use flashing or blinking text, objects, or elements.</w:t>
            </w:r>
          </w:p>
        </w:tc>
      </w:tr>
      <w:tr w:rsidR="00BB5BAF" w:rsidTr="003071CE">
        <w:tc>
          <w:tcPr>
            <w:tcW w:w="3603" w:type="dxa"/>
            <w:tcBorders>
              <w:top w:val="single" w:sz="4" w:space="0" w:color="auto"/>
              <w:left w:val="single" w:sz="4" w:space="0" w:color="auto"/>
              <w:bottom w:val="single" w:sz="4" w:space="0" w:color="auto"/>
              <w:right w:val="single" w:sz="4" w:space="0" w:color="auto"/>
            </w:tcBorders>
          </w:tcPr>
          <w:p w:rsidR="00BB5BAF" w:rsidRDefault="00BB5BAF">
            <w:r>
              <w:t>(l) When electronic forms are used, the form shall allow people using Assistive Technology to access the information, field elements, and functionality required for completion and submission of the form, including all directions and cues.</w:t>
            </w:r>
          </w:p>
          <w:p w:rsidR="00BB5BAF" w:rsidRDefault="00BB5BAF"/>
        </w:tc>
        <w:tc>
          <w:tcPr>
            <w:tcW w:w="289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highlight w:val="yellow"/>
              </w:rPr>
            </w:pPr>
          </w:p>
        </w:tc>
        <w:tc>
          <w:tcPr>
            <w:tcW w:w="3078" w:type="dxa"/>
            <w:tcBorders>
              <w:top w:val="single" w:sz="4" w:space="0" w:color="auto"/>
              <w:left w:val="single" w:sz="4" w:space="0" w:color="auto"/>
              <w:bottom w:val="single" w:sz="4" w:space="0" w:color="auto"/>
              <w:right w:val="single" w:sz="4" w:space="0" w:color="auto"/>
            </w:tcBorders>
            <w:hideMark/>
          </w:tcPr>
          <w:p w:rsidR="00BB5BAF" w:rsidRDefault="00BB5BAF" w:rsidP="001F508B">
            <w:pPr>
              <w:rPr>
                <w:color w:val="000000"/>
                <w:highlight w:val="yellow"/>
              </w:rPr>
            </w:pPr>
            <w:r>
              <w:rPr>
                <w:color w:val="000000"/>
              </w:rPr>
              <w:t xml:space="preserve">Bookshelf exposes </w:t>
            </w:r>
            <w:r w:rsidR="00ED6A90">
              <w:rPr>
                <w:color w:val="000000"/>
              </w:rPr>
              <w:t xml:space="preserve">form control </w:t>
            </w:r>
            <w:r>
              <w:rPr>
                <w:color w:val="000000"/>
              </w:rPr>
              <w:t>info</w:t>
            </w:r>
            <w:r w:rsidR="001F742B">
              <w:rPr>
                <w:color w:val="000000"/>
              </w:rPr>
              <w:t>rmation to assistive technology</w:t>
            </w:r>
            <w:r w:rsidR="001F508B">
              <w:rPr>
                <w:color w:val="000000"/>
              </w:rPr>
              <w:t>.</w:t>
            </w:r>
          </w:p>
        </w:tc>
      </w:tr>
    </w:tbl>
    <w:p w:rsidR="00F85ED8" w:rsidRPr="00F85ED8" w:rsidRDefault="00F85ED8" w:rsidP="00F85ED8">
      <w:bookmarkStart w:id="16" w:name="_Toc362977605"/>
      <w:bookmarkStart w:id="17" w:name="_Toc363360998"/>
      <w:bookmarkStart w:id="18" w:name="_Toc387948035"/>
      <w:r>
        <w:br w:type="page"/>
      </w:r>
    </w:p>
    <w:p w:rsidR="00BB5BAF" w:rsidRPr="00876D29" w:rsidRDefault="00BB5BAF" w:rsidP="00F85ED8">
      <w:pPr>
        <w:pStyle w:val="Heading2"/>
        <w:numPr>
          <w:ilvl w:val="0"/>
          <w:numId w:val="0"/>
        </w:numPr>
        <w:spacing w:before="240"/>
        <w:rPr>
          <w:rFonts w:cs="Arial"/>
          <w:color w:val="auto"/>
        </w:rPr>
      </w:pPr>
      <w:bookmarkStart w:id="19" w:name="_Toc414605418"/>
      <w:r w:rsidRPr="00876D29">
        <w:rPr>
          <w:color w:val="auto"/>
        </w:rPr>
        <w:lastRenderedPageBreak/>
        <w:t>Table 2: Section 1194.31 Functional Performance Criteria – Detail</w:t>
      </w:r>
      <w:bookmarkEnd w:id="16"/>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724"/>
        <w:gridCol w:w="3100"/>
      </w:tblGrid>
      <w:tr w:rsidR="00BB5BAF" w:rsidTr="00130632">
        <w:tc>
          <w:tcPr>
            <w:tcW w:w="3618"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Criteria</w:t>
            </w:r>
          </w:p>
          <w:p w:rsidR="00BB5BAF" w:rsidRDefault="00BB5BAF">
            <w:pPr>
              <w:rPr>
                <w:b/>
              </w:rPr>
            </w:pPr>
          </w:p>
        </w:tc>
        <w:tc>
          <w:tcPr>
            <w:tcW w:w="2790"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Level of Support &amp; Supporting Features</w:t>
            </w:r>
          </w:p>
          <w:p w:rsidR="00F85ED8" w:rsidRDefault="00F85ED8">
            <w:pPr>
              <w:rPr>
                <w:b/>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Remarks and explanations</w:t>
            </w:r>
          </w:p>
        </w:tc>
      </w:tr>
      <w:tr w:rsidR="00BB5BAF" w:rsidTr="00130632">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(a) At least one mode of operation and information retrieval that does not require user vision shall be provided, or support for Assistive Technology used by people who are blind or visually impaired shall be provided.</w:t>
            </w:r>
          </w:p>
        </w:tc>
        <w:tc>
          <w:tcPr>
            <w:tcW w:w="2790"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r w:rsidR="00754B9F">
              <w:rPr>
                <w:b/>
                <w:color w:val="000000"/>
              </w:rPr>
              <w:t xml:space="preserve"> with Exceptions</w:t>
            </w:r>
          </w:p>
          <w:p w:rsidR="00BB5BAF" w:rsidRDefault="00BB5BAF">
            <w:pPr>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rPr>
                <w:color w:val="000000"/>
              </w:rPr>
            </w:pPr>
            <w:r>
              <w:rPr>
                <w:color w:val="000000"/>
              </w:rPr>
              <w:t xml:space="preserve">Bookshelf provides access to nearly all functions when used with </w:t>
            </w:r>
            <w:proofErr w:type="spellStart"/>
            <w:r>
              <w:rPr>
                <w:color w:val="000000"/>
              </w:rPr>
              <w:t>VoiceOver</w:t>
            </w:r>
            <w:proofErr w:type="spellEnd"/>
            <w:r>
              <w:rPr>
                <w:color w:val="000000"/>
              </w:rPr>
              <w:t>.</w:t>
            </w:r>
            <w:r w:rsidR="00754B9F">
              <w:rPr>
                <w:color w:val="000000"/>
              </w:rPr>
              <w:t xml:space="preserve"> </w:t>
            </w:r>
            <w:r w:rsidR="00260D92">
              <w:rPr>
                <w:color w:val="000000"/>
              </w:rPr>
              <w:t>Limitations include the inability to create highlights/notes in PDF media, and inability to use a braille display to read any of the book media.</w:t>
            </w:r>
          </w:p>
          <w:p w:rsidR="00876D29" w:rsidRDefault="00876D29">
            <w:pPr>
              <w:rPr>
                <w:b/>
                <w:color w:val="000000"/>
              </w:rPr>
            </w:pPr>
          </w:p>
        </w:tc>
      </w:tr>
      <w:tr w:rsidR="00BB5BAF" w:rsidTr="00130632">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790" w:type="dxa"/>
            <w:tcBorders>
              <w:top w:val="single" w:sz="4" w:space="0" w:color="auto"/>
              <w:left w:val="single" w:sz="4" w:space="0" w:color="auto"/>
              <w:bottom w:val="single" w:sz="4" w:space="0" w:color="auto"/>
              <w:right w:val="single" w:sz="4" w:space="0" w:color="auto"/>
            </w:tcBorders>
          </w:tcPr>
          <w:p w:rsidR="00BB5BAF" w:rsidRDefault="00BB5BAF">
            <w:pPr>
              <w:spacing w:before="120"/>
              <w:rPr>
                <w:b/>
                <w:color w:val="000000"/>
              </w:rPr>
            </w:pPr>
            <w:r>
              <w:rPr>
                <w:b/>
                <w:color w:val="000000"/>
              </w:rPr>
              <w:t>Supports</w:t>
            </w:r>
            <w:r w:rsidR="00260D92">
              <w:rPr>
                <w:b/>
                <w:color w:val="000000"/>
              </w:rPr>
              <w:t xml:space="preserve"> with Exceptions</w:t>
            </w:r>
          </w:p>
          <w:p w:rsidR="00BB5BAF" w:rsidRDefault="00BB5BAF">
            <w:pPr>
              <w:spacing w:before="120"/>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rsidP="004C3144">
            <w:pPr>
              <w:spacing w:before="120"/>
              <w:rPr>
                <w:color w:val="000000"/>
              </w:rPr>
            </w:pPr>
            <w:r>
              <w:rPr>
                <w:color w:val="000000"/>
              </w:rPr>
              <w:t xml:space="preserve">Bookshelf provides zooming of book contents, and works well with </w:t>
            </w:r>
            <w:r w:rsidR="004C3144">
              <w:rPr>
                <w:color w:val="000000"/>
              </w:rPr>
              <w:t>OS</w:t>
            </w:r>
            <w:r w:rsidR="00274797">
              <w:rPr>
                <w:color w:val="000000"/>
              </w:rPr>
              <w:t xml:space="preserve"> </w:t>
            </w:r>
            <w:r w:rsidR="004C3144">
              <w:rPr>
                <w:color w:val="000000"/>
              </w:rPr>
              <w:t>X</w:t>
            </w:r>
            <w:r>
              <w:rPr>
                <w:color w:val="000000"/>
              </w:rPr>
              <w:t xml:space="preserve"> Zoom and color settings.</w:t>
            </w:r>
            <w:r w:rsidR="00260D92">
              <w:rPr>
                <w:color w:val="000000"/>
              </w:rPr>
              <w:t xml:space="preserve"> Several user interface elements have insufficient color contrast.</w:t>
            </w:r>
          </w:p>
        </w:tc>
      </w:tr>
      <w:tr w:rsidR="00BB5BAF" w:rsidTr="00130632">
        <w:tc>
          <w:tcPr>
            <w:tcW w:w="3618" w:type="dxa"/>
            <w:tcBorders>
              <w:top w:val="single" w:sz="4" w:space="0" w:color="auto"/>
              <w:left w:val="single" w:sz="4" w:space="0" w:color="auto"/>
              <w:bottom w:val="single" w:sz="4" w:space="0" w:color="auto"/>
              <w:right w:val="single" w:sz="4" w:space="0" w:color="auto"/>
            </w:tcBorders>
          </w:tcPr>
          <w:p w:rsidR="00BB5BAF" w:rsidRDefault="00BB5BAF">
            <w:r>
              <w:t>(c) At least one mode of operation and information retrieval that does not require user hearing shall be provided, or support for Assistive Technology used by people who are deaf or hard of hearing shall be provided</w:t>
            </w:r>
          </w:p>
          <w:p w:rsidR="00BB5BAF" w:rsidRDefault="00BB5BAF"/>
        </w:tc>
        <w:tc>
          <w:tcPr>
            <w:tcW w:w="2790"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t>Bookshelf has a read aloud function, and visually reading the text serves as a second mode for deaf or hard of hearing users.</w:t>
            </w:r>
          </w:p>
        </w:tc>
      </w:tr>
      <w:tr w:rsidR="00BB5BAF" w:rsidTr="00130632">
        <w:tc>
          <w:tcPr>
            <w:tcW w:w="3618" w:type="dxa"/>
            <w:tcBorders>
              <w:top w:val="single" w:sz="4" w:space="0" w:color="auto"/>
              <w:left w:val="single" w:sz="4" w:space="0" w:color="auto"/>
              <w:bottom w:val="single" w:sz="4" w:space="0" w:color="auto"/>
              <w:right w:val="single" w:sz="4" w:space="0" w:color="auto"/>
            </w:tcBorders>
          </w:tcPr>
          <w:p w:rsidR="00BB5BAF" w:rsidRDefault="00BB5BAF">
            <w:r>
              <w:t>(d) Where audio information is important for the use of a product, at least one mode of operation and information retrieval shall be provided in an enhanced auditory fashion, or support for assistive hearing devices shall be provided.</w:t>
            </w:r>
          </w:p>
          <w:p w:rsidR="00BB5BAF" w:rsidRDefault="00BB5BAF"/>
        </w:tc>
        <w:tc>
          <w:tcPr>
            <w:tcW w:w="2790"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b/>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t>Enhanced auditory support is provided by the computer in the form of a volume control and earphone output.</w:t>
            </w:r>
          </w:p>
        </w:tc>
      </w:tr>
      <w:tr w:rsidR="00BB5BAF" w:rsidTr="00130632">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(e) At least one mode of operation and information retrieval that does not require user speech shall be provided, or support for Assistive Technology used by people with disabilities shall be provided.</w:t>
            </w:r>
          </w:p>
        </w:tc>
        <w:tc>
          <w:tcPr>
            <w:tcW w:w="2790"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t>Bookshelf does not have modes of operation that require speech.</w:t>
            </w:r>
          </w:p>
        </w:tc>
      </w:tr>
      <w:tr w:rsidR="00BB5BAF" w:rsidTr="00130632">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 xml:space="preserve">(f) At least one mode of operation and information retrieval that does not require fine motor control or simultaneous actions and that is </w:t>
            </w:r>
            <w:r>
              <w:lastRenderedPageBreak/>
              <w:t>operable with limited reach and strength shall be provided.</w:t>
            </w:r>
          </w:p>
        </w:tc>
        <w:tc>
          <w:tcPr>
            <w:tcW w:w="2790" w:type="dxa"/>
            <w:tcBorders>
              <w:top w:val="single" w:sz="4" w:space="0" w:color="auto"/>
              <w:left w:val="single" w:sz="4" w:space="0" w:color="auto"/>
              <w:bottom w:val="single" w:sz="4" w:space="0" w:color="auto"/>
              <w:right w:val="single" w:sz="4" w:space="0" w:color="auto"/>
            </w:tcBorders>
          </w:tcPr>
          <w:p w:rsidR="00BB5BAF" w:rsidRDefault="00BB5BAF">
            <w:pPr>
              <w:spacing w:before="120"/>
              <w:rPr>
                <w:b/>
                <w:color w:val="000000"/>
              </w:rPr>
            </w:pPr>
            <w:r>
              <w:rPr>
                <w:b/>
                <w:color w:val="000000"/>
              </w:rPr>
              <w:lastRenderedPageBreak/>
              <w:t>Supports with Exceptions</w:t>
            </w:r>
          </w:p>
          <w:p w:rsidR="00BB5BAF" w:rsidRDefault="00BB5BAF">
            <w:pPr>
              <w:spacing w:before="120"/>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CA0FFF" w:rsidRDefault="00BB5BAF">
            <w:r>
              <w:t xml:space="preserve">Most features of Bookshelf are accessible using </w:t>
            </w:r>
            <w:r w:rsidR="00CB375F">
              <w:t xml:space="preserve">the </w:t>
            </w:r>
            <w:r>
              <w:t xml:space="preserve">keyboard; however, standard keyboard access (outside of </w:t>
            </w:r>
            <w:proofErr w:type="spellStart"/>
            <w:r>
              <w:t>VoiceOver</w:t>
            </w:r>
            <w:proofErr w:type="spellEnd"/>
            <w:r>
              <w:t xml:space="preserve">) does not support selecting text </w:t>
            </w:r>
            <w:r>
              <w:lastRenderedPageBreak/>
              <w:t xml:space="preserve">for highlighting, creating notes or activating hyperlinks within a book. </w:t>
            </w:r>
          </w:p>
          <w:p w:rsidR="00CA0FFF" w:rsidRDefault="00CA0FFF"/>
          <w:p w:rsidR="00BB5BAF" w:rsidRDefault="00260D92">
            <w:pPr>
              <w:rPr>
                <w:b/>
                <w:color w:val="000000"/>
              </w:rPr>
            </w:pPr>
            <w:r>
              <w:t>A small number of</w:t>
            </w:r>
            <w:r w:rsidR="004C3144">
              <w:t xml:space="preserve"> </w:t>
            </w:r>
            <w:r w:rsidR="00CA0FFF">
              <w:t xml:space="preserve">user interface </w:t>
            </w:r>
            <w:r w:rsidR="004C3144">
              <w:t xml:space="preserve">elements do not receive visible focus without </w:t>
            </w:r>
            <w:proofErr w:type="spellStart"/>
            <w:r w:rsidR="004C3144">
              <w:t>VoiceOver</w:t>
            </w:r>
            <w:proofErr w:type="spellEnd"/>
            <w:r w:rsidR="004C3144">
              <w:t xml:space="preserve"> enabled.</w:t>
            </w:r>
          </w:p>
        </w:tc>
      </w:tr>
    </w:tbl>
    <w:p w:rsidR="00BB5BAF" w:rsidRDefault="00BB5BAF" w:rsidP="00BB5BAF">
      <w:pPr>
        <w:rPr>
          <w:b/>
          <w:color w:val="000080"/>
          <w:sz w:val="24"/>
          <w:szCs w:val="24"/>
        </w:rPr>
      </w:pPr>
    </w:p>
    <w:p w:rsidR="00876D29" w:rsidRDefault="00876D29" w:rsidP="00DD0509">
      <w:pPr>
        <w:pStyle w:val="Heading2"/>
      </w:pPr>
      <w:bookmarkStart w:id="20" w:name="_Toc363360999"/>
      <w:bookmarkStart w:id="21" w:name="_Toc362977606"/>
      <w:bookmarkStart w:id="22" w:name="_Toc387948036"/>
      <w:bookmarkStart w:id="23" w:name="_Toc414605419"/>
    </w:p>
    <w:p w:rsidR="00BB5BAF" w:rsidRPr="00876D29" w:rsidRDefault="00BB5BAF" w:rsidP="00DD0509">
      <w:pPr>
        <w:pStyle w:val="Heading2"/>
        <w:rPr>
          <w:color w:val="auto"/>
        </w:rPr>
      </w:pPr>
      <w:r w:rsidRPr="00876D29">
        <w:rPr>
          <w:color w:val="auto"/>
        </w:rPr>
        <w:t>Table 3: Section 1194.41 Information, Documentation, and Support</w:t>
      </w:r>
      <w:bookmarkEnd w:id="20"/>
      <w:bookmarkEnd w:id="21"/>
      <w:bookmarkEnd w:id="22"/>
      <w:bookmarkEnd w:id="23"/>
    </w:p>
    <w:p w:rsidR="00BB5BAF" w:rsidRDefault="00BB5BAF" w:rsidP="00BB5BA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689"/>
        <w:gridCol w:w="3132"/>
      </w:tblGrid>
      <w:tr w:rsidR="00BB5BAF" w:rsidTr="00BB5BAF">
        <w:tc>
          <w:tcPr>
            <w:tcW w:w="3618"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Criteria</w:t>
            </w:r>
          </w:p>
          <w:p w:rsidR="00BB5BAF" w:rsidRDefault="00BB5BAF">
            <w:pPr>
              <w:rPr>
                <w:b/>
              </w:rPr>
            </w:pPr>
          </w:p>
        </w:tc>
        <w:tc>
          <w:tcPr>
            <w:tcW w:w="2753"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Level of Support &amp; Supporting Features</w:t>
            </w:r>
          </w:p>
          <w:p w:rsidR="00F85ED8" w:rsidRDefault="00F85ED8">
            <w:pPr>
              <w:rPr>
                <w:b/>
              </w:rPr>
            </w:pPr>
          </w:p>
        </w:tc>
        <w:tc>
          <w:tcPr>
            <w:tcW w:w="3205"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Remarks and explanations</w:t>
            </w:r>
          </w:p>
        </w:tc>
      </w:tr>
      <w:tr w:rsidR="00BB5BAF" w:rsidTr="00BB5BAF">
        <w:tc>
          <w:tcPr>
            <w:tcW w:w="3618" w:type="dxa"/>
            <w:tcBorders>
              <w:top w:val="single" w:sz="4" w:space="0" w:color="auto"/>
              <w:left w:val="single" w:sz="4" w:space="0" w:color="auto"/>
              <w:bottom w:val="single" w:sz="4" w:space="0" w:color="auto"/>
              <w:right w:val="single" w:sz="4" w:space="0" w:color="auto"/>
            </w:tcBorders>
          </w:tcPr>
          <w:p w:rsidR="00BB5BAF" w:rsidRDefault="00BB5BAF">
            <w:r>
              <w:t>(a) Product support documentation provided to end-users shall be made available in alternate formats upon request, at no additional charge</w:t>
            </w:r>
          </w:p>
          <w:p w:rsidR="00BB5BAF" w:rsidRDefault="00BB5BAF"/>
        </w:tc>
        <w:tc>
          <w:tcPr>
            <w:tcW w:w="2753"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Supports</w:t>
            </w:r>
          </w:p>
          <w:p w:rsidR="00BB5BAF" w:rsidRDefault="00BB5BAF"/>
        </w:tc>
        <w:tc>
          <w:tcPr>
            <w:tcW w:w="3205"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t>Bookshelf provides free online help in HTML format.</w:t>
            </w:r>
            <w:r w:rsidR="00047C94">
              <w:t xml:space="preserve"> Alternate formats are available upon request.</w:t>
            </w:r>
          </w:p>
        </w:tc>
      </w:tr>
      <w:tr w:rsidR="00BB5BAF" w:rsidTr="00BB5BAF">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(b) End-users shall have access to a description of the accessibility and compatibility features of products in alternate formats or alternate methods upon request, at no additional charge.</w:t>
            </w:r>
          </w:p>
        </w:tc>
        <w:tc>
          <w:tcPr>
            <w:tcW w:w="2753"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Support</w:t>
            </w:r>
            <w:r w:rsidR="00047C94">
              <w:rPr>
                <w:b/>
              </w:rPr>
              <w:t>s</w:t>
            </w:r>
          </w:p>
          <w:p w:rsidR="00BB5BAF" w:rsidRDefault="00BB5BAF"/>
        </w:tc>
        <w:tc>
          <w:tcPr>
            <w:tcW w:w="3205" w:type="dxa"/>
            <w:tcBorders>
              <w:top w:val="single" w:sz="4" w:space="0" w:color="auto"/>
              <w:left w:val="single" w:sz="4" w:space="0" w:color="auto"/>
              <w:bottom w:val="single" w:sz="4" w:space="0" w:color="auto"/>
              <w:right w:val="single" w:sz="4" w:space="0" w:color="auto"/>
            </w:tcBorders>
            <w:hideMark/>
          </w:tcPr>
          <w:p w:rsidR="00BB5BAF" w:rsidRDefault="00BB5BAF" w:rsidP="00047C94">
            <w:r>
              <w:t xml:space="preserve">Bookshelf help </w:t>
            </w:r>
            <w:r w:rsidR="00047C94">
              <w:t>provides</w:t>
            </w:r>
            <w:r>
              <w:t xml:space="preserve"> documentation for access technology users.</w:t>
            </w:r>
          </w:p>
        </w:tc>
      </w:tr>
      <w:tr w:rsidR="00BB5BAF" w:rsidTr="00BB5BAF">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(c) Support services for products shall accommodate the communication needs of end-users with disabilities.</w:t>
            </w:r>
          </w:p>
        </w:tc>
        <w:tc>
          <w:tcPr>
            <w:tcW w:w="2753"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Supports</w:t>
            </w:r>
          </w:p>
          <w:p w:rsidR="00BB5BAF" w:rsidRDefault="00BB5BAF"/>
        </w:tc>
        <w:tc>
          <w:tcPr>
            <w:tcW w:w="3205" w:type="dxa"/>
            <w:tcBorders>
              <w:top w:val="single" w:sz="4" w:space="0" w:color="auto"/>
              <w:left w:val="single" w:sz="4" w:space="0" w:color="auto"/>
              <w:bottom w:val="single" w:sz="4" w:space="0" w:color="auto"/>
              <w:right w:val="single" w:sz="4" w:space="0" w:color="auto"/>
            </w:tcBorders>
          </w:tcPr>
          <w:p w:rsidR="00BB5BAF" w:rsidRDefault="00BB5BAF">
            <w:r>
              <w:t>Support for Bookshelf products is available via the online support pages, and phone.</w:t>
            </w:r>
          </w:p>
          <w:p w:rsidR="00BB5BAF" w:rsidRDefault="00BB5BAF">
            <w:pPr>
              <w:rPr>
                <w:b/>
              </w:rPr>
            </w:pPr>
          </w:p>
        </w:tc>
      </w:tr>
    </w:tbl>
    <w:p w:rsidR="00BB5BAF" w:rsidRDefault="00BB5BAF" w:rsidP="00BB5BAF">
      <w:pPr>
        <w:spacing w:after="120"/>
        <w:rPr>
          <w:color w:val="17365D"/>
        </w:rPr>
      </w:pPr>
    </w:p>
    <w:p w:rsidR="00BB5BAF" w:rsidRDefault="00BB5BAF" w:rsidP="00BB5BAF">
      <w:pPr>
        <w:spacing w:after="120"/>
        <w:rPr>
          <w:sz w:val="24"/>
          <w:szCs w:val="24"/>
        </w:rPr>
      </w:pPr>
    </w:p>
    <w:p w:rsidR="00BB5BAF" w:rsidRDefault="00BB5BAF" w:rsidP="00DD0509">
      <w:pPr>
        <w:pStyle w:val="Heading1"/>
      </w:pPr>
      <w:r>
        <w:rPr>
          <w:kern w:val="28"/>
          <w:sz w:val="24"/>
          <w:szCs w:val="24"/>
        </w:rPr>
        <w:br w:type="page"/>
      </w:r>
      <w:bookmarkStart w:id="24" w:name="_Toc363361000"/>
      <w:bookmarkStart w:id="25" w:name="_Toc414605420"/>
      <w:r>
        <w:lastRenderedPageBreak/>
        <w:t>Concluding Remarks</w:t>
      </w:r>
      <w:bookmarkEnd w:id="24"/>
      <w:bookmarkEnd w:id="25"/>
    </w:p>
    <w:p w:rsidR="00BB5BAF" w:rsidRDefault="00BB5BAF" w:rsidP="00BB5BAF">
      <w:pPr>
        <w:spacing w:after="240" w:line="276" w:lineRule="auto"/>
        <w:rPr>
          <w:color w:val="000000"/>
          <w:sz w:val="24"/>
          <w:szCs w:val="24"/>
        </w:rPr>
      </w:pPr>
      <w:r>
        <w:rPr>
          <w:color w:val="000000"/>
          <w:sz w:val="24"/>
          <w:szCs w:val="24"/>
        </w:rPr>
        <w:t xml:space="preserve">The accessibility assessment conducted for this project indicates that the Bookshelf </w:t>
      </w:r>
      <w:r w:rsidR="00D57C4C">
        <w:rPr>
          <w:color w:val="000000"/>
          <w:sz w:val="24"/>
          <w:szCs w:val="24"/>
        </w:rPr>
        <w:t>Macintosh</w:t>
      </w:r>
      <w:r w:rsidR="008B2781">
        <w:rPr>
          <w:color w:val="000000"/>
          <w:sz w:val="24"/>
          <w:szCs w:val="24"/>
        </w:rPr>
        <w:t xml:space="preserve"> </w:t>
      </w:r>
      <w:r w:rsidR="000D3703">
        <w:rPr>
          <w:color w:val="000000"/>
          <w:sz w:val="24"/>
          <w:szCs w:val="24"/>
        </w:rPr>
        <w:t>7.</w:t>
      </w:r>
      <w:r w:rsidR="00260D92">
        <w:rPr>
          <w:color w:val="000000"/>
          <w:sz w:val="24"/>
          <w:szCs w:val="24"/>
        </w:rPr>
        <w:t>0</w:t>
      </w:r>
      <w:r w:rsidR="002D4496">
        <w:rPr>
          <w:color w:val="000000"/>
          <w:sz w:val="24"/>
          <w:szCs w:val="24"/>
        </w:rPr>
        <w:t xml:space="preserve"> </w:t>
      </w:r>
      <w:r w:rsidR="00130632">
        <w:rPr>
          <w:color w:val="000000"/>
          <w:sz w:val="24"/>
          <w:szCs w:val="24"/>
        </w:rPr>
        <w:t>(2</w:t>
      </w:r>
      <w:r w:rsidR="00260D92">
        <w:rPr>
          <w:color w:val="000000"/>
          <w:sz w:val="24"/>
          <w:szCs w:val="24"/>
        </w:rPr>
        <w:t>4</w:t>
      </w:r>
      <w:r w:rsidR="00130632">
        <w:rPr>
          <w:color w:val="000000"/>
          <w:sz w:val="24"/>
          <w:szCs w:val="24"/>
        </w:rPr>
        <w:t>2</w:t>
      </w:r>
      <w:r w:rsidR="00260D92">
        <w:rPr>
          <w:color w:val="000000"/>
          <w:sz w:val="24"/>
          <w:szCs w:val="24"/>
        </w:rPr>
        <w:t>9</w:t>
      </w:r>
      <w:r w:rsidR="00130632">
        <w:rPr>
          <w:color w:val="000000"/>
          <w:sz w:val="24"/>
          <w:szCs w:val="24"/>
        </w:rPr>
        <w:t xml:space="preserve">) </w:t>
      </w:r>
      <w:r w:rsidR="00E03BD9">
        <w:rPr>
          <w:color w:val="000000"/>
          <w:sz w:val="24"/>
          <w:szCs w:val="24"/>
        </w:rPr>
        <w:t xml:space="preserve">Desktop </w:t>
      </w:r>
      <w:r>
        <w:rPr>
          <w:color w:val="000000"/>
          <w:sz w:val="24"/>
          <w:szCs w:val="24"/>
        </w:rPr>
        <w:t xml:space="preserve">platform is mostly accessible and </w:t>
      </w:r>
      <w:r>
        <w:rPr>
          <w:sz w:val="24"/>
          <w:szCs w:val="24"/>
        </w:rPr>
        <w:t>conforms with the Section 508 Accessibility Standards, with a few exceptions</w:t>
      </w:r>
      <w:r>
        <w:rPr>
          <w:color w:val="000000"/>
          <w:sz w:val="24"/>
          <w:szCs w:val="24"/>
        </w:rPr>
        <w:t xml:space="preserve">. </w:t>
      </w:r>
    </w:p>
    <w:p w:rsidR="00BB5BAF" w:rsidRDefault="00BB5BAF" w:rsidP="00BB5BAF">
      <w:pPr>
        <w:spacing w:after="240" w:line="276" w:lineRule="auto"/>
        <w:rPr>
          <w:color w:val="000000"/>
        </w:rPr>
      </w:pPr>
      <w:r>
        <w:rPr>
          <w:color w:val="000000"/>
          <w:sz w:val="24"/>
          <w:szCs w:val="24"/>
        </w:rPr>
        <w:t xml:space="preserve">TFA is confident that the issues identified are not unduly complex.  By remediating the accessibility and usability issues listed in this report and by implementing TFA’s recommendations, </w:t>
      </w:r>
      <w:r w:rsidR="00B81F70">
        <w:rPr>
          <w:color w:val="000000"/>
          <w:sz w:val="24"/>
          <w:szCs w:val="24"/>
        </w:rPr>
        <w:t xml:space="preserve">VitalSource </w:t>
      </w:r>
      <w:r>
        <w:rPr>
          <w:color w:val="000000"/>
          <w:sz w:val="24"/>
          <w:szCs w:val="24"/>
        </w:rPr>
        <w:t>can achieve not only conformance with the Section 508</w:t>
      </w:r>
      <w:r w:rsidR="00B81F70">
        <w:rPr>
          <w:color w:val="000000"/>
          <w:sz w:val="24"/>
          <w:szCs w:val="24"/>
        </w:rPr>
        <w:t xml:space="preserve"> standards</w:t>
      </w:r>
      <w:r>
        <w:rPr>
          <w:color w:val="000000"/>
          <w:sz w:val="24"/>
          <w:szCs w:val="24"/>
        </w:rPr>
        <w:t>, but also be fully usable by its customers with disabilities.</w:t>
      </w:r>
      <w:r>
        <w:rPr>
          <w:color w:val="000000"/>
        </w:rPr>
        <w:t xml:space="preserve">  </w:t>
      </w:r>
    </w:p>
    <w:p w:rsidR="00260D92" w:rsidRDefault="00260D92">
      <w:pPr>
        <w:suppressAutoHyphens w:val="0"/>
        <w:rPr>
          <w:b/>
          <w:bCs/>
          <w:iCs/>
          <w:color w:val="008000"/>
          <w:sz w:val="28"/>
          <w:szCs w:val="28"/>
          <w:lang w:val="en-CA"/>
        </w:rPr>
      </w:pPr>
      <w:bookmarkStart w:id="26" w:name="_Toc358829043"/>
      <w:bookmarkStart w:id="27" w:name="_Toc210712849"/>
      <w:bookmarkStart w:id="28" w:name="_Toc363361003"/>
      <w:bookmarkStart w:id="29" w:name="_Toc414605423"/>
      <w:r>
        <w:br w:type="page"/>
      </w:r>
    </w:p>
    <w:p w:rsidR="00BB5BAF" w:rsidRDefault="00BB5BAF" w:rsidP="00DD0509">
      <w:pPr>
        <w:pStyle w:val="Heading1"/>
      </w:pPr>
      <w:r>
        <w:lastRenderedPageBreak/>
        <w:t>Appendix A:  Background on V</w:t>
      </w:r>
      <w:bookmarkEnd w:id="26"/>
      <w:bookmarkEnd w:id="27"/>
      <w:r>
        <w:t>PAT</w:t>
      </w:r>
      <w:bookmarkEnd w:id="28"/>
      <w:bookmarkEnd w:id="29"/>
      <w:r>
        <w:t xml:space="preserve"> </w:t>
      </w:r>
    </w:p>
    <w:p w:rsidR="00BB5BAF" w:rsidRDefault="00BB5BAF" w:rsidP="00BB5BAF">
      <w:pPr>
        <w:pStyle w:val="NormalWeb"/>
        <w:spacing w:before="0" w:beforeAutospacing="0" w:after="240" w:afterAutospacing="0" w:line="276" w:lineRule="auto"/>
      </w:pPr>
      <w:r>
        <w:t>To facilitate effective communication between producers of products and services and those who acquire them concerning the accessibility of specific products, an accessibility information template was created by a joint government and industry effort.  The VPAT document was created by the Information Technology Industry Council (</w:t>
      </w:r>
      <w:hyperlink r:id="rId13" w:history="1">
        <w:r w:rsidRPr="00754B9F">
          <w:rPr>
            <w:rStyle w:val="Hyperlink"/>
            <w:color w:val="1F497D"/>
            <w:sz w:val="24"/>
          </w:rPr>
          <w:t>www.itic.org</w:t>
        </w:r>
      </w:hyperlink>
      <w:r>
        <w:t xml:space="preserve">) based on Section 508 </w:t>
      </w:r>
      <w:r w:rsidR="008F7267">
        <w:t xml:space="preserve">Accessibility </w:t>
      </w:r>
      <w:r>
        <w:t>Standards established by the United States Access Board (</w:t>
      </w:r>
      <w:hyperlink r:id="rId14" w:history="1">
        <w:r w:rsidRPr="00754B9F">
          <w:rPr>
            <w:rStyle w:val="Hyperlink"/>
            <w:color w:val="1F497D"/>
            <w:sz w:val="24"/>
          </w:rPr>
          <w:t>www.access-board.gov</w:t>
        </w:r>
      </w:hyperlink>
      <w:r>
        <w:t xml:space="preserve">) in 2001. </w:t>
      </w:r>
    </w:p>
    <w:p w:rsidR="00BB5BAF" w:rsidRDefault="00BB5BAF" w:rsidP="00BB5BAF">
      <w:pPr>
        <w:pStyle w:val="NormalWeb"/>
        <w:spacing w:before="0" w:beforeAutospacing="0" w:after="120" w:afterAutospacing="0" w:line="276" w:lineRule="auto"/>
      </w:pPr>
      <w:r>
        <w:t>The use of the VPAT as an evaluation tool has enabled companies and organizations to self-document and formally attest to conformance and nonconformance with specific Section 508 accessibility requirements point by point. Its purpose is to assist federal and state contracting officials and other purchasers in making preliminary assessments regarding the availability of commercial Information and Communication Technologies (ICT) products and services with features that support accessibility. Vendors are frequently required to submit VPATs with their responses to RFPs and other government purchasing proposals.</w:t>
      </w:r>
    </w:p>
    <w:p w:rsidR="00BB5BAF" w:rsidRDefault="00BB5BAF" w:rsidP="00BB5BAF">
      <w:pPr>
        <w:pStyle w:val="NormalWeb"/>
        <w:spacing w:before="0" w:beforeAutospacing="0" w:after="120" w:afterAutospacing="0" w:line="276" w:lineRule="auto"/>
      </w:pPr>
      <w:r>
        <w:t xml:space="preserve">For each ICT product category to which Section 508 applies, three different requirements need to be addressed.  (Complete information regarding these requirements can be found at the </w:t>
      </w:r>
      <w:hyperlink r:id="rId15" w:history="1">
        <w:r w:rsidRPr="00754B9F">
          <w:rPr>
            <w:rStyle w:val="Hyperlink"/>
            <w:color w:val="1F497D"/>
            <w:sz w:val="24"/>
          </w:rPr>
          <w:t>www.section508.gov</w:t>
        </w:r>
      </w:hyperlink>
      <w:r>
        <w:t xml:space="preserve"> and </w:t>
      </w:r>
      <w:hyperlink r:id="rId16" w:history="1">
        <w:r w:rsidRPr="00754B9F">
          <w:rPr>
            <w:rStyle w:val="Hyperlink"/>
            <w:color w:val="1F497D"/>
            <w:sz w:val="24"/>
          </w:rPr>
          <w:t>www.itic.org</w:t>
        </w:r>
      </w:hyperlink>
      <w:r>
        <w:t xml:space="preserve"> websites):</w:t>
      </w:r>
    </w:p>
    <w:p w:rsidR="00BB5BAF" w:rsidRDefault="00BB5BAF" w:rsidP="002C760C">
      <w:pPr>
        <w:pStyle w:val="NormalWeb"/>
        <w:numPr>
          <w:ilvl w:val="0"/>
          <w:numId w:val="10"/>
        </w:numPr>
        <w:spacing w:before="0" w:beforeAutospacing="0" w:after="120" w:afterAutospacing="0" w:line="276" w:lineRule="auto"/>
      </w:pPr>
      <w:r>
        <w:t xml:space="preserve">Specific Requirements, corresponding to specific product groups: </w:t>
      </w:r>
    </w:p>
    <w:p w:rsidR="00BB5BAF" w:rsidRDefault="00BB5BAF" w:rsidP="002C760C">
      <w:pPr>
        <w:pStyle w:val="NormalWeb"/>
        <w:numPr>
          <w:ilvl w:val="1"/>
          <w:numId w:val="11"/>
        </w:numPr>
        <w:spacing w:before="0" w:beforeAutospacing="0" w:after="0" w:afterAutospacing="0" w:line="276" w:lineRule="auto"/>
      </w:pPr>
      <w:r>
        <w:t>Section 1194.21 Software Applications and Operating Systems</w:t>
      </w:r>
    </w:p>
    <w:p w:rsidR="00BB5BAF" w:rsidRDefault="00BB5BAF" w:rsidP="002C760C">
      <w:pPr>
        <w:pStyle w:val="NormalWeb"/>
        <w:numPr>
          <w:ilvl w:val="1"/>
          <w:numId w:val="11"/>
        </w:numPr>
        <w:spacing w:before="0" w:beforeAutospacing="0" w:after="0" w:afterAutospacing="0" w:line="276" w:lineRule="auto"/>
      </w:pPr>
      <w:r>
        <w:t>Section 1194.22 Web-based Internet Information and Applications</w:t>
      </w:r>
    </w:p>
    <w:p w:rsidR="00BB5BAF" w:rsidRDefault="00BB5BAF" w:rsidP="002C760C">
      <w:pPr>
        <w:pStyle w:val="NormalWeb"/>
        <w:numPr>
          <w:ilvl w:val="1"/>
          <w:numId w:val="11"/>
        </w:numPr>
        <w:spacing w:before="0" w:beforeAutospacing="0" w:after="0" w:afterAutospacing="0" w:line="276" w:lineRule="auto"/>
      </w:pPr>
      <w:r>
        <w:t>Section 1194.23 Telecommunications Products</w:t>
      </w:r>
    </w:p>
    <w:p w:rsidR="00BB5BAF" w:rsidRDefault="00BB5BAF" w:rsidP="002C760C">
      <w:pPr>
        <w:pStyle w:val="NormalWeb"/>
        <w:numPr>
          <w:ilvl w:val="1"/>
          <w:numId w:val="11"/>
        </w:numPr>
        <w:spacing w:before="0" w:beforeAutospacing="0" w:after="0" w:afterAutospacing="0" w:line="276" w:lineRule="auto"/>
      </w:pPr>
      <w:r>
        <w:t>Section 1194.24 Video and Multimedia Products</w:t>
      </w:r>
    </w:p>
    <w:p w:rsidR="00BB5BAF" w:rsidRDefault="00BB5BAF" w:rsidP="002C760C">
      <w:pPr>
        <w:pStyle w:val="NormalWeb"/>
        <w:numPr>
          <w:ilvl w:val="1"/>
          <w:numId w:val="11"/>
        </w:numPr>
        <w:spacing w:before="0" w:beforeAutospacing="0" w:after="0" w:afterAutospacing="0" w:line="276" w:lineRule="auto"/>
      </w:pPr>
      <w:r>
        <w:t>Section 1194.25 Self-Contained, Closed Products</w:t>
      </w:r>
    </w:p>
    <w:p w:rsidR="00BB5BAF" w:rsidRDefault="00BB5BAF" w:rsidP="002C760C">
      <w:pPr>
        <w:pStyle w:val="NormalWeb"/>
        <w:numPr>
          <w:ilvl w:val="1"/>
          <w:numId w:val="11"/>
        </w:numPr>
        <w:spacing w:before="0" w:beforeAutospacing="0" w:after="120" w:afterAutospacing="0" w:line="276" w:lineRule="auto"/>
      </w:pPr>
      <w:r>
        <w:t>Section 1194.26 Desktop and Portable Computers</w:t>
      </w:r>
    </w:p>
    <w:p w:rsidR="00BB5BAF" w:rsidRDefault="00BB5BAF" w:rsidP="002C760C">
      <w:pPr>
        <w:pStyle w:val="NormalWeb"/>
        <w:numPr>
          <w:ilvl w:val="0"/>
          <w:numId w:val="10"/>
        </w:numPr>
        <w:spacing w:before="0" w:beforeAutospacing="0" w:after="120" w:afterAutospacing="0" w:line="276" w:lineRule="auto"/>
      </w:pPr>
      <w:r>
        <w:t>Section 1194.31 Functional Performance Criteria, “Functional Performance Criteria,” applying to all product groups</w:t>
      </w:r>
    </w:p>
    <w:p w:rsidR="00BB5BAF" w:rsidRDefault="00BB5BAF" w:rsidP="002C760C">
      <w:pPr>
        <w:pStyle w:val="NormalWeb"/>
        <w:numPr>
          <w:ilvl w:val="0"/>
          <w:numId w:val="10"/>
        </w:numPr>
        <w:spacing w:before="0" w:beforeAutospacing="0" w:after="120" w:afterAutospacing="0" w:line="276" w:lineRule="auto"/>
      </w:pPr>
      <w:r>
        <w:t xml:space="preserve">Section 1194.41 Information, Documentation, and Support: General Requirement, “Information, Documentation, and Support,” applying to the information provided </w:t>
      </w:r>
      <w:r>
        <w:rPr>
          <w:i/>
        </w:rPr>
        <w:t xml:space="preserve">accompanying </w:t>
      </w:r>
      <w:r>
        <w:t>all ICT products. Thus FAQ’s, Manuals and the like must all be accessible.</w:t>
      </w:r>
    </w:p>
    <w:p w:rsidR="00BB5BAF" w:rsidRDefault="00BB5BAF" w:rsidP="00BB5BAF">
      <w:pPr>
        <w:spacing w:line="276" w:lineRule="auto"/>
        <w:ind w:right="-180"/>
        <w:rPr>
          <w:i/>
          <w:color w:val="000080"/>
          <w:sz w:val="24"/>
          <w:szCs w:val="24"/>
        </w:rPr>
      </w:pPr>
      <w:r>
        <w:rPr>
          <w:sz w:val="24"/>
          <w:szCs w:val="24"/>
        </w:rPr>
        <w:t>Considering that the VPAT carries important information for the procurement official, it is essential that a supplier/producer provide an accurately prepared VPAT that fairly and responsibly represents its product and/or service.</w:t>
      </w:r>
    </w:p>
    <w:p w:rsidR="00BB5BAF" w:rsidRDefault="00BB5BAF" w:rsidP="00BB5BAF">
      <w:pPr>
        <w:spacing w:after="240" w:line="276" w:lineRule="auto"/>
        <w:rPr>
          <w:color w:val="1F497D"/>
          <w:sz w:val="24"/>
          <w:szCs w:val="24"/>
        </w:rPr>
      </w:pPr>
    </w:p>
    <w:p w:rsidR="00BB5BAF" w:rsidRDefault="00BB5BAF" w:rsidP="00BB5BAF">
      <w:pPr>
        <w:spacing w:after="240" w:line="276" w:lineRule="auto"/>
        <w:rPr>
          <w:b/>
          <w:color w:val="008000"/>
          <w:sz w:val="24"/>
          <w:szCs w:val="24"/>
        </w:rPr>
      </w:pPr>
    </w:p>
    <w:p w:rsidR="00BB5BAF" w:rsidRDefault="00BB5BAF" w:rsidP="00BB5BAF">
      <w:pPr>
        <w:spacing w:after="240" w:line="276" w:lineRule="auto"/>
        <w:rPr>
          <w:b/>
          <w:color w:val="008000"/>
          <w:sz w:val="24"/>
          <w:szCs w:val="24"/>
        </w:rPr>
      </w:pPr>
      <w:r>
        <w:rPr>
          <w:b/>
          <w:color w:val="008000"/>
          <w:sz w:val="24"/>
          <w:szCs w:val="24"/>
        </w:rPr>
        <w:lastRenderedPageBreak/>
        <w:t>Suggested Language for Completing VPAT</w:t>
      </w:r>
    </w:p>
    <w:p w:rsidR="00BB5BAF" w:rsidRDefault="00BB5BAF" w:rsidP="00BB5BAF">
      <w:pPr>
        <w:pStyle w:val="basictext"/>
        <w:spacing w:before="0" w:beforeAutospacing="0" w:after="120" w:afterAutospacing="0" w:line="276" w:lineRule="auto"/>
        <w:rPr>
          <w:rFonts w:ascii="Times New Roman" w:hAnsi="Times New Roman"/>
          <w:sz w:val="24"/>
          <w:szCs w:val="24"/>
        </w:rPr>
      </w:pPr>
      <w:r>
        <w:rPr>
          <w:rFonts w:ascii="Times New Roman" w:hAnsi="Times New Roman"/>
          <w:sz w:val="24"/>
          <w:szCs w:val="24"/>
        </w:rPr>
        <w:t>In order to simplify the task of conducting market research assessments for procurement officials or customers, ITIC (</w:t>
      </w:r>
      <w:hyperlink r:id="rId17" w:history="1">
        <w:r>
          <w:rPr>
            <w:rStyle w:val="Hyperlink"/>
            <w:rFonts w:ascii="Times New Roman" w:hAnsi="Times New Roman"/>
            <w:color w:val="1F497D"/>
            <w:sz w:val="24"/>
            <w:szCs w:val="24"/>
          </w:rPr>
          <w:t>www.itic.org</w:t>
        </w:r>
      </w:hyperlink>
      <w:r>
        <w:rPr>
          <w:rFonts w:ascii="Times New Roman" w:hAnsi="Times New Roman"/>
          <w:sz w:val="24"/>
          <w:szCs w:val="24"/>
        </w:rPr>
        <w:t>) has developed suggested language for use when filling out a VPAT document.  The following table provides the suggested language.</w:t>
      </w:r>
    </w:p>
    <w:p w:rsidR="00BB5BAF" w:rsidRDefault="00BB5BAF" w:rsidP="00BB5BAF">
      <w:pPr>
        <w:pStyle w:val="basictext"/>
        <w:spacing w:before="0" w:beforeAutospacing="0" w:after="120" w:afterAutospacing="0" w:line="276" w:lineRule="auto"/>
        <w:rPr>
          <w:rFonts w:ascii="Times New Roman" w:hAnsi="Times New Roman"/>
          <w:i/>
          <w:sz w:val="24"/>
          <w:szCs w:val="24"/>
        </w:rPr>
      </w:pPr>
      <w:r>
        <w:rPr>
          <w:rFonts w:ascii="Times New Roman" w:hAnsi="Times New Roman"/>
          <w:i/>
          <w:sz w:val="24"/>
          <w:szCs w:val="24"/>
        </w:rPr>
        <w:t xml:space="preserve">Column 1 - Supporting Features </w:t>
      </w:r>
    </w:p>
    <w:p w:rsidR="00BB5BAF" w:rsidRDefault="00BB5BAF" w:rsidP="00BB5BAF">
      <w:pPr>
        <w:spacing w:after="120" w:line="276" w:lineRule="auto"/>
        <w:rPr>
          <w:i/>
          <w:sz w:val="24"/>
          <w:szCs w:val="24"/>
        </w:rPr>
      </w:pPr>
      <w:r>
        <w:rPr>
          <w:i/>
          <w:sz w:val="24"/>
          <w:szCs w:val="24"/>
        </w:rPr>
        <w:t>Column 2 - Remarks and Explanations</w:t>
      </w:r>
    </w:p>
    <w:p w:rsidR="00BB5BAF" w:rsidRDefault="00BB5BAF" w:rsidP="00BB5BAF">
      <w:pPr>
        <w:spacing w:after="120"/>
        <w:rPr>
          <w:sz w:val="24"/>
          <w:szCs w:val="24"/>
        </w:rPr>
      </w:pPr>
      <w:r>
        <w:rPr>
          <w:sz w:val="24"/>
          <w:szCs w:val="24"/>
        </w:rPr>
        <w:t>Feedback from procurement officials and customers shows that providing further explanation regarding features and exceptions is especially helpful. Use this column to detail how the product addresses the standard or criteria by:</w:t>
      </w:r>
    </w:p>
    <w:p w:rsidR="00BB5BAF" w:rsidRDefault="00BB5BAF" w:rsidP="002C760C">
      <w:pPr>
        <w:numPr>
          <w:ilvl w:val="0"/>
          <w:numId w:val="12"/>
        </w:numPr>
        <w:suppressAutoHyphens w:val="0"/>
        <w:spacing w:after="120"/>
        <w:rPr>
          <w:sz w:val="24"/>
          <w:szCs w:val="24"/>
        </w:rPr>
      </w:pPr>
      <w:r>
        <w:rPr>
          <w:sz w:val="24"/>
          <w:szCs w:val="24"/>
        </w:rPr>
        <w:t xml:space="preserve">Listing accessibility features or features that are accessible </w:t>
      </w:r>
    </w:p>
    <w:p w:rsidR="00BB5BAF" w:rsidRDefault="00BB5BAF" w:rsidP="002C760C">
      <w:pPr>
        <w:numPr>
          <w:ilvl w:val="0"/>
          <w:numId w:val="12"/>
        </w:numPr>
        <w:suppressAutoHyphens w:val="0"/>
        <w:spacing w:after="120"/>
        <w:rPr>
          <w:sz w:val="24"/>
          <w:szCs w:val="24"/>
        </w:rPr>
      </w:pPr>
      <w:r>
        <w:rPr>
          <w:sz w:val="24"/>
          <w:szCs w:val="24"/>
        </w:rPr>
        <w:t xml:space="preserve">Detailing where in the product an exception occurs  </w:t>
      </w:r>
    </w:p>
    <w:p w:rsidR="00BB5BAF" w:rsidRDefault="00BB5BAF" w:rsidP="00BB5BAF">
      <w:pPr>
        <w:spacing w:after="120"/>
        <w:rPr>
          <w:sz w:val="24"/>
          <w:szCs w:val="24"/>
        </w:rPr>
      </w:pPr>
      <w:r>
        <w:rPr>
          <w:sz w:val="24"/>
          <w:szCs w:val="24"/>
        </w:rPr>
        <w:t>Explaining equivalent methods of facilitation (definition of "equivalent facilitation" -see 36 CFR 1194.5.)</w:t>
      </w:r>
    </w:p>
    <w:p w:rsidR="00BB5BAF" w:rsidRDefault="00BB5BAF" w:rsidP="00BB5BAF">
      <w:pPr>
        <w:spacing w:after="120"/>
      </w:pPr>
    </w:p>
    <w:tbl>
      <w:tblPr>
        <w:tblW w:w="96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5765"/>
      </w:tblGrid>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B5BAF" w:rsidRDefault="00BB5BAF">
            <w:pPr>
              <w:jc w:val="center"/>
              <w:rPr>
                <w:b/>
                <w:bCs/>
              </w:rPr>
            </w:pPr>
            <w:r>
              <w:rPr>
                <w:b/>
                <w:bCs/>
              </w:rPr>
              <w:t xml:space="preserve">Supporting Features </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B5BAF" w:rsidRDefault="00BB5BAF">
            <w:pPr>
              <w:jc w:val="center"/>
              <w:rPr>
                <w:b/>
              </w:rPr>
            </w:pPr>
            <w:r>
              <w:rPr>
                <w:b/>
              </w:rPr>
              <w:t xml:space="preserve">Recommended Language </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Supports</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the product fully meets the letter and intent of the Criteria.</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Supports with Exceptions</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the product does not fully meet the letter and intent of the Criteria, but provides some level of access relative to the Criteria.</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Supports through Equivalent Facilitation</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have identified an alternate way to meet the intent of the Criteria or when the product does not fully meet the intent of the Criteria.</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Supports when combined with Compatible Assistive Technology</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the product fully meets the letter and intent of the Criteria when used in combination with Compatible Assistive Technology. For example, many software programs can provide speech output when combined with a compatible screen reader (commonly used assistive technology for people who are blind).</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Does not Support</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the product does not meet the letter or intent of the Criteria.</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Not Applicable</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that the Criteria do not apply to the specific product.</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rPr>
                <w:bCs/>
              </w:rPr>
              <w:t>Not Applicable - Fundamental Alteration Exception Applies</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a Fundamental Alteration of the product would be required to meet the Criteria (see the access board standards for the definition of "fundamental alteration").</w:t>
            </w:r>
          </w:p>
        </w:tc>
      </w:tr>
      <w:bookmarkEnd w:id="15"/>
    </w:tbl>
    <w:p w:rsidR="00BB5BAF" w:rsidRPr="00BB5BAF" w:rsidRDefault="00BB5BAF" w:rsidP="00BB5BAF">
      <w:pPr>
        <w:rPr>
          <w:lang w:val="en-CA"/>
        </w:rPr>
      </w:pPr>
    </w:p>
    <w:sectPr w:rsidR="00BB5BAF" w:rsidRPr="00BB5BAF" w:rsidSect="002B70C1">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6F" w:rsidRDefault="000A436F">
      <w:r>
        <w:separator/>
      </w:r>
    </w:p>
  </w:endnote>
  <w:endnote w:type="continuationSeparator" w:id="0">
    <w:p w:rsidR="000A436F" w:rsidRDefault="000A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imbus Sans L">
    <w:altName w:val="Arial"/>
    <w:charset w:val="00"/>
    <w:family w:val="swiss"/>
    <w:pitch w:val="variable"/>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21" w:rsidRDefault="000C3021" w:rsidP="008F0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021" w:rsidRDefault="000C3021" w:rsidP="008F0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21" w:rsidRDefault="000C3021" w:rsidP="008F0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8F6">
      <w:rPr>
        <w:rStyle w:val="PageNumber"/>
        <w:noProof/>
      </w:rPr>
      <w:t>2</w:t>
    </w:r>
    <w:r>
      <w:rPr>
        <w:rStyle w:val="PageNumber"/>
      </w:rPr>
      <w:fldChar w:fldCharType="end"/>
    </w:r>
  </w:p>
  <w:p w:rsidR="000C3021" w:rsidRDefault="000C3021" w:rsidP="008F00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9D" w:rsidRDefault="003B1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6F" w:rsidRDefault="000A436F">
      <w:r>
        <w:separator/>
      </w:r>
    </w:p>
  </w:footnote>
  <w:footnote w:type="continuationSeparator" w:id="0">
    <w:p w:rsidR="000A436F" w:rsidRDefault="000A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21" w:rsidRDefault="000C3021" w:rsidP="008F00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021" w:rsidRDefault="000C3021" w:rsidP="008F00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21" w:rsidRDefault="000C3021" w:rsidP="008F00E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9D" w:rsidRDefault="003B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90F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500"/>
        </w:tabs>
        <w:ind w:left="1500" w:hanging="360"/>
      </w:pPr>
      <w:rPr>
        <w:rFonts w:ascii="Wingdings" w:hAnsi="Wingdings"/>
        <w:color w:val="808080"/>
      </w:rPr>
    </w:lvl>
  </w:abstractNum>
  <w:abstractNum w:abstractNumId="2" w15:restartNumberingAfterBreak="0">
    <w:nsid w:val="00000002"/>
    <w:multiLevelType w:val="singleLevel"/>
    <w:tmpl w:val="00000002"/>
    <w:name w:val="WW8Num2"/>
    <w:lvl w:ilvl="0">
      <w:start w:val="1"/>
      <w:numFmt w:val="bullet"/>
      <w:lvlText w:val="§"/>
      <w:lvlJc w:val="left"/>
      <w:pPr>
        <w:tabs>
          <w:tab w:val="num" w:pos="210"/>
        </w:tabs>
        <w:ind w:left="210" w:hanging="360"/>
      </w:pPr>
      <w:rPr>
        <w:rFonts w:ascii="Wingdings" w:hAnsi="Wingdings"/>
        <w:color w:val="808080"/>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olor w:val="808080"/>
        <w:sz w:val="22"/>
      </w:rPr>
    </w:lvl>
  </w:abstractNum>
  <w:abstractNum w:abstractNumId="4" w15:restartNumberingAfterBreak="0">
    <w:nsid w:val="00000004"/>
    <w:multiLevelType w:val="singleLevel"/>
    <w:tmpl w:val="00000004"/>
    <w:name w:val="WW8Num4"/>
    <w:lvl w:ilvl="0">
      <w:start w:val="1"/>
      <w:numFmt w:val="bullet"/>
      <w:lvlText w:val="§"/>
      <w:lvlJc w:val="left"/>
      <w:pPr>
        <w:tabs>
          <w:tab w:val="num" w:pos="648"/>
        </w:tabs>
        <w:ind w:left="648" w:hanging="360"/>
      </w:pPr>
      <w:rPr>
        <w:rFonts w:ascii="Wingdings" w:hAnsi="Wingdings"/>
        <w:color w:val="808080"/>
      </w:rPr>
    </w:lvl>
  </w:abstractNum>
  <w:abstractNum w:abstractNumId="5" w15:restartNumberingAfterBreak="0">
    <w:nsid w:val="00000005"/>
    <w:multiLevelType w:val="singleLevel"/>
    <w:tmpl w:val="00000005"/>
    <w:name w:val="WW8Num5"/>
    <w:lvl w:ilvl="0">
      <w:start w:val="1"/>
      <w:numFmt w:val="bullet"/>
      <w:lvlText w:val="§"/>
      <w:lvlJc w:val="left"/>
      <w:pPr>
        <w:tabs>
          <w:tab w:val="num" w:pos="648"/>
        </w:tabs>
        <w:ind w:left="648" w:hanging="360"/>
      </w:pPr>
      <w:rPr>
        <w:rFonts w:ascii="Wingdings" w:hAnsi="Wingdings"/>
        <w:color w:val="808080"/>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olor w:val="808080"/>
      </w:rPr>
    </w:lvl>
  </w:abstractNum>
  <w:abstractNum w:abstractNumId="7" w15:restartNumberingAfterBreak="0">
    <w:nsid w:val="00000007"/>
    <w:multiLevelType w:val="singleLevel"/>
    <w:tmpl w:val="00000007"/>
    <w:name w:val="WW8Num7"/>
    <w:lvl w:ilvl="0">
      <w:start w:val="1"/>
      <w:numFmt w:val="bullet"/>
      <w:lvlText w:val="§"/>
      <w:lvlJc w:val="left"/>
      <w:pPr>
        <w:tabs>
          <w:tab w:val="num" w:pos="648"/>
        </w:tabs>
        <w:ind w:left="648" w:hanging="360"/>
      </w:pPr>
      <w:rPr>
        <w:rFonts w:ascii="Wingdings" w:hAnsi="Wingdings"/>
        <w:color w:val="808080"/>
      </w:rPr>
    </w:lvl>
  </w:abstractNum>
  <w:abstractNum w:abstractNumId="8" w15:restartNumberingAfterBreak="0">
    <w:nsid w:val="00000008"/>
    <w:multiLevelType w:val="singleLevel"/>
    <w:tmpl w:val="00000008"/>
    <w:name w:val="WW8Num8"/>
    <w:lvl w:ilvl="0">
      <w:start w:val="1"/>
      <w:numFmt w:val="bullet"/>
      <w:lvlText w:val="§"/>
      <w:lvlJc w:val="left"/>
      <w:pPr>
        <w:tabs>
          <w:tab w:val="num" w:pos="648"/>
        </w:tabs>
        <w:ind w:left="648" w:hanging="360"/>
      </w:pPr>
      <w:rPr>
        <w:rFonts w:ascii="Wingdings" w:hAnsi="Wingdings"/>
        <w:color w:val="808080"/>
      </w:rPr>
    </w:lvl>
  </w:abstractNum>
  <w:abstractNum w:abstractNumId="9" w15:restartNumberingAfterBreak="0">
    <w:nsid w:val="00000009"/>
    <w:multiLevelType w:val="singleLevel"/>
    <w:tmpl w:val="00000009"/>
    <w:name w:val="WW8Num9"/>
    <w:lvl w:ilvl="0">
      <w:start w:val="1"/>
      <w:numFmt w:val="bullet"/>
      <w:lvlText w:val="§"/>
      <w:lvlJc w:val="left"/>
      <w:pPr>
        <w:tabs>
          <w:tab w:val="num" w:pos="648"/>
        </w:tabs>
        <w:ind w:left="648" w:hanging="360"/>
      </w:pPr>
      <w:rPr>
        <w:rFonts w:ascii="Wingdings" w:hAnsi="Wingdings"/>
        <w:color w:val="808080"/>
      </w:rPr>
    </w:lvl>
  </w:abstractNum>
  <w:abstractNum w:abstractNumId="10" w15:restartNumberingAfterBreak="0">
    <w:nsid w:val="0000000A"/>
    <w:multiLevelType w:val="singleLevel"/>
    <w:tmpl w:val="0000000A"/>
    <w:name w:val="WW8Num10"/>
    <w:lvl w:ilvl="0">
      <w:start w:val="1"/>
      <w:numFmt w:val="bullet"/>
      <w:lvlText w:val="§"/>
      <w:lvlJc w:val="left"/>
      <w:pPr>
        <w:tabs>
          <w:tab w:val="num" w:pos="648"/>
        </w:tabs>
        <w:ind w:left="648" w:hanging="360"/>
      </w:pPr>
      <w:rPr>
        <w:rFonts w:ascii="Wingdings" w:hAnsi="Wingdings"/>
        <w:color w:val="808080"/>
      </w:rPr>
    </w:lvl>
  </w:abstractNum>
  <w:abstractNum w:abstractNumId="11" w15:restartNumberingAfterBreak="0">
    <w:nsid w:val="0000000B"/>
    <w:multiLevelType w:val="singleLevel"/>
    <w:tmpl w:val="0000000B"/>
    <w:name w:val="WW8Num11"/>
    <w:lvl w:ilvl="0">
      <w:start w:val="1"/>
      <w:numFmt w:val="bullet"/>
      <w:lvlText w:val="§"/>
      <w:lvlJc w:val="left"/>
      <w:pPr>
        <w:tabs>
          <w:tab w:val="num" w:pos="648"/>
        </w:tabs>
        <w:ind w:left="648" w:hanging="360"/>
      </w:pPr>
      <w:rPr>
        <w:rFonts w:ascii="Wingdings" w:hAnsi="Wingdings"/>
        <w:color w:val="808080"/>
      </w:rPr>
    </w:lvl>
  </w:abstractNum>
  <w:abstractNum w:abstractNumId="12" w15:restartNumberingAfterBreak="0">
    <w:nsid w:val="0000000C"/>
    <w:multiLevelType w:val="singleLevel"/>
    <w:tmpl w:val="0000000C"/>
    <w:name w:val="WW8Num12"/>
    <w:lvl w:ilvl="0">
      <w:start w:val="1"/>
      <w:numFmt w:val="bullet"/>
      <w:pStyle w:val="BulletSquare"/>
      <w:lvlText w:val="q"/>
      <w:lvlJc w:val="left"/>
      <w:pPr>
        <w:tabs>
          <w:tab w:val="num" w:pos="648"/>
        </w:tabs>
        <w:ind w:left="648" w:hanging="360"/>
      </w:pPr>
      <w:rPr>
        <w:rFonts w:ascii="Wingdings" w:hAnsi="Wingdings"/>
        <w:sz w:val="16"/>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olor w:val="808080"/>
      </w:rPr>
    </w:lvl>
    <w:lvl w:ilvl="2">
      <w:start w:val="1"/>
      <w:numFmt w:val="decimal"/>
      <w:lvlText w:val="%3."/>
      <w:lvlJc w:val="left"/>
      <w:pPr>
        <w:tabs>
          <w:tab w:val="num" w:pos="2340"/>
        </w:tabs>
        <w:ind w:left="2340" w:hanging="360"/>
      </w:pPr>
      <w:rPr>
        <w:rFonts w:ascii="Arial" w:hAnsi="Arial"/>
        <w:color w:val="808080"/>
        <w:sz w:val="22"/>
      </w:rPr>
    </w:lvl>
    <w:lvl w:ilvl="3">
      <w:start w:val="8"/>
      <w:numFmt w:val="bullet"/>
      <w:lvlText w:val="-"/>
      <w:lvlJc w:val="left"/>
      <w:pPr>
        <w:tabs>
          <w:tab w:val="num" w:pos="2880"/>
        </w:tabs>
        <w:ind w:left="2880" w:hanging="360"/>
      </w:pPr>
      <w:rPr>
        <w:rFonts w:ascii="Arial" w:hAnsi="Arial" w:cs="Arial"/>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Arial" w:hAnsi="Arial"/>
        <w:color w:val="808080"/>
        <w:sz w:val="22"/>
      </w:rPr>
    </w:lvl>
  </w:abstractNum>
  <w:abstractNum w:abstractNumId="15"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16"/>
    <w:lvl w:ilvl="0">
      <w:start w:val="1"/>
      <w:numFmt w:val="bullet"/>
      <w:lvlText w:val="§"/>
      <w:lvlJc w:val="left"/>
      <w:pPr>
        <w:tabs>
          <w:tab w:val="num" w:pos="648"/>
        </w:tabs>
        <w:ind w:left="648" w:hanging="360"/>
      </w:pPr>
      <w:rPr>
        <w:rFonts w:ascii="Wingdings" w:hAnsi="Wingdings"/>
        <w:color w:val="808080"/>
      </w:rPr>
    </w:lvl>
  </w:abstractNum>
  <w:abstractNum w:abstractNumId="17"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8" w15:restartNumberingAfterBreak="0">
    <w:nsid w:val="00000012"/>
    <w:multiLevelType w:val="multilevel"/>
    <w:tmpl w:val="8EEC9C18"/>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19" w15:restartNumberingAfterBreak="0">
    <w:nsid w:val="02CD2432"/>
    <w:multiLevelType w:val="hybridMultilevel"/>
    <w:tmpl w:val="E170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CA5992"/>
    <w:multiLevelType w:val="hybridMultilevel"/>
    <w:tmpl w:val="87683882"/>
    <w:lvl w:ilvl="0" w:tplc="508A36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0626DB"/>
    <w:multiLevelType w:val="hybridMultilevel"/>
    <w:tmpl w:val="C9AE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0BBF43D6"/>
    <w:multiLevelType w:val="hybridMultilevel"/>
    <w:tmpl w:val="38BAB3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0F1B2F22"/>
    <w:multiLevelType w:val="hybridMultilevel"/>
    <w:tmpl w:val="5ED0C5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F34FB7"/>
    <w:multiLevelType w:val="hybridMultilevel"/>
    <w:tmpl w:val="CABAEFDC"/>
    <w:lvl w:ilvl="0" w:tplc="080635D2">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6D5E99"/>
    <w:multiLevelType w:val="hybridMultilevel"/>
    <w:tmpl w:val="F4B45D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75D7621"/>
    <w:multiLevelType w:val="hybridMultilevel"/>
    <w:tmpl w:val="F4B45D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8070766"/>
    <w:multiLevelType w:val="hybridMultilevel"/>
    <w:tmpl w:val="1D4A1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A001EE0"/>
    <w:multiLevelType w:val="hybridMultilevel"/>
    <w:tmpl w:val="D18C99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067983"/>
    <w:multiLevelType w:val="hybridMultilevel"/>
    <w:tmpl w:val="BF1AF9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4D07F6"/>
    <w:multiLevelType w:val="hybridMultilevel"/>
    <w:tmpl w:val="F4B45D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49F2078"/>
    <w:multiLevelType w:val="hybridMultilevel"/>
    <w:tmpl w:val="9C92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3D3618"/>
    <w:multiLevelType w:val="hybridMultilevel"/>
    <w:tmpl w:val="CABAEFDC"/>
    <w:lvl w:ilvl="0" w:tplc="080635D2">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8519F1"/>
    <w:multiLevelType w:val="hybridMultilevel"/>
    <w:tmpl w:val="BF1AF9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55586"/>
    <w:multiLevelType w:val="hybridMultilevel"/>
    <w:tmpl w:val="83CA6C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3B2F3945"/>
    <w:multiLevelType w:val="hybridMultilevel"/>
    <w:tmpl w:val="C4C8DD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CF95251"/>
    <w:multiLevelType w:val="hybridMultilevel"/>
    <w:tmpl w:val="E8B27DFE"/>
    <w:lvl w:ilvl="0" w:tplc="FFFFFFFF">
      <w:start w:val="1"/>
      <w:numFmt w:val="decimal"/>
      <w:lvlText w:val="%1."/>
      <w:lvlJc w:val="left"/>
      <w:pPr>
        <w:tabs>
          <w:tab w:val="num" w:pos="720"/>
        </w:tabs>
        <w:ind w:left="720" w:hanging="360"/>
      </w:pPr>
      <w:rPr>
        <w:rFonts w:ascii="Arial" w:hAnsi="Arial" w:cs="Times New Roman" w:hint="default"/>
        <w:b w:val="0"/>
        <w:i w:val="0"/>
        <w:caps/>
        <w:strike w:val="0"/>
        <w:dstrike w:val="0"/>
        <w:vanish w:val="0"/>
        <w:webHidden w:val="0"/>
        <w:color w:val="808080"/>
        <w:sz w:val="22"/>
        <w:szCs w:val="22"/>
        <w:u w:val="none"/>
        <w:effect w:val="none"/>
        <w:vertAlign w:val="baseline"/>
        <w:specVanish w:val="0"/>
      </w:rPr>
    </w:lvl>
    <w:lvl w:ilvl="1" w:tplc="BAECA76E">
      <w:start w:val="1"/>
      <w:numFmt w:val="bullet"/>
      <w:lvlText w:val=""/>
      <w:lvlJc w:val="left"/>
      <w:pPr>
        <w:tabs>
          <w:tab w:val="num" w:pos="1800"/>
        </w:tabs>
        <w:ind w:left="1800" w:hanging="360"/>
      </w:pPr>
      <w:rPr>
        <w:rFonts w:ascii="Wingdings" w:hAnsi="Wingdings" w:hint="default"/>
        <w:b w:val="0"/>
        <w:i w:val="0"/>
        <w:caps/>
        <w:strike w:val="0"/>
        <w:dstrike w:val="0"/>
        <w:vanish w:val="0"/>
        <w:webHidden w:val="0"/>
        <w:color w:val="808080"/>
        <w:sz w:val="22"/>
        <w:szCs w:val="22"/>
        <w:u w:val="none"/>
        <w:effect w:val="none"/>
        <w:vertAlign w:val="baseline"/>
        <w:specVanish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3EEA5715"/>
    <w:multiLevelType w:val="hybridMultilevel"/>
    <w:tmpl w:val="A6046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9730610"/>
    <w:multiLevelType w:val="hybridMultilevel"/>
    <w:tmpl w:val="D1B6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1D59A1"/>
    <w:multiLevelType w:val="hybridMultilevel"/>
    <w:tmpl w:val="6F4C4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FD39B4"/>
    <w:multiLevelType w:val="multilevel"/>
    <w:tmpl w:val="EBB043EA"/>
    <w:lvl w:ilvl="0">
      <w:start w:val="1"/>
      <w:numFmt w:val="bullet"/>
      <w:lvlText w:val=""/>
      <w:lvlJc w:val="left"/>
      <w:pPr>
        <w:tabs>
          <w:tab w:val="num" w:pos="720"/>
        </w:tabs>
        <w:ind w:left="720" w:hanging="360"/>
      </w:pPr>
      <w:rPr>
        <w:rFonts w:ascii="Wingdings" w:hAnsi="Wingdings" w:hint="default"/>
        <w:color w:val="808080"/>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9209F2"/>
    <w:multiLevelType w:val="hybridMultilevel"/>
    <w:tmpl w:val="6598D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53663415"/>
    <w:multiLevelType w:val="hybridMultilevel"/>
    <w:tmpl w:val="AB20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73B3772"/>
    <w:multiLevelType w:val="hybridMultilevel"/>
    <w:tmpl w:val="CABAEFDC"/>
    <w:lvl w:ilvl="0" w:tplc="080635D2">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5637A1"/>
    <w:multiLevelType w:val="hybridMultilevel"/>
    <w:tmpl w:val="A138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0A0D80"/>
    <w:multiLevelType w:val="hybridMultilevel"/>
    <w:tmpl w:val="01A2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DF54FC7"/>
    <w:multiLevelType w:val="hybridMultilevel"/>
    <w:tmpl w:val="7F9AA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5EAC3F10"/>
    <w:multiLevelType w:val="hybridMultilevel"/>
    <w:tmpl w:val="17C0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2ED6C86"/>
    <w:multiLevelType w:val="hybridMultilevel"/>
    <w:tmpl w:val="D86C68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A9363A"/>
    <w:multiLevelType w:val="hybridMultilevel"/>
    <w:tmpl w:val="F4B45D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94C542D"/>
    <w:multiLevelType w:val="hybridMultilevel"/>
    <w:tmpl w:val="537E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B710F71"/>
    <w:multiLevelType w:val="hybridMultilevel"/>
    <w:tmpl w:val="CABAEFDC"/>
    <w:lvl w:ilvl="0" w:tplc="080635D2">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66391B"/>
    <w:multiLevelType w:val="hybridMultilevel"/>
    <w:tmpl w:val="FA484D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311B63"/>
    <w:multiLevelType w:val="hybridMultilevel"/>
    <w:tmpl w:val="C87A69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6782FD5"/>
    <w:multiLevelType w:val="hybridMultilevel"/>
    <w:tmpl w:val="FA484D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222618"/>
    <w:multiLevelType w:val="hybridMultilevel"/>
    <w:tmpl w:val="4ED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D77623"/>
    <w:multiLevelType w:val="hybridMultilevel"/>
    <w:tmpl w:val="C4C8DD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num>
  <w:num w:numId="5">
    <w:abstractNumId w:val="47"/>
  </w:num>
  <w:num w:numId="6">
    <w:abstractNumId w:val="42"/>
  </w:num>
  <w:num w:numId="7">
    <w:abstractNumId w:val="31"/>
  </w:num>
  <w:num w:numId="8">
    <w:abstractNumId w:val="34"/>
  </w:num>
  <w:num w:numId="9">
    <w:abstractNumId w:val="22"/>
  </w:num>
  <w:num w:numId="1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0"/>
  </w:num>
  <w:num w:numId="13">
    <w:abstractNumId w:val="44"/>
  </w:num>
  <w:num w:numId="14">
    <w:abstractNumId w:val="37"/>
  </w:num>
  <w:num w:numId="15">
    <w:abstractNumId w:val="41"/>
  </w:num>
  <w:num w:numId="16">
    <w:abstractNumId w:val="45"/>
  </w:num>
  <w:num w:numId="17">
    <w:abstractNumId w:val="46"/>
  </w:num>
  <w:num w:numId="18">
    <w:abstractNumId w:val="32"/>
  </w:num>
  <w:num w:numId="19">
    <w:abstractNumId w:val="28"/>
  </w:num>
  <w:num w:numId="20">
    <w:abstractNumId w:val="35"/>
  </w:num>
  <w:num w:numId="21">
    <w:abstractNumId w:val="30"/>
  </w:num>
  <w:num w:numId="22">
    <w:abstractNumId w:val="38"/>
  </w:num>
  <w:num w:numId="23">
    <w:abstractNumId w:val="23"/>
  </w:num>
  <w:num w:numId="24">
    <w:abstractNumId w:val="19"/>
  </w:num>
  <w:num w:numId="25">
    <w:abstractNumId w:val="24"/>
  </w:num>
  <w:num w:numId="26">
    <w:abstractNumId w:val="51"/>
  </w:num>
  <w:num w:numId="27">
    <w:abstractNumId w:val="43"/>
  </w:num>
  <w:num w:numId="28">
    <w:abstractNumId w:val="39"/>
  </w:num>
  <w:num w:numId="29">
    <w:abstractNumId w:val="52"/>
  </w:num>
  <w:num w:numId="30">
    <w:abstractNumId w:val="33"/>
  </w:num>
  <w:num w:numId="31">
    <w:abstractNumId w:val="29"/>
  </w:num>
  <w:num w:numId="32">
    <w:abstractNumId w:val="56"/>
  </w:num>
  <w:num w:numId="33">
    <w:abstractNumId w:val="25"/>
  </w:num>
  <w:num w:numId="34">
    <w:abstractNumId w:val="48"/>
  </w:num>
  <w:num w:numId="35">
    <w:abstractNumId w:val="26"/>
  </w:num>
  <w:num w:numId="36">
    <w:abstractNumId w:val="49"/>
  </w:num>
  <w:num w:numId="37">
    <w:abstractNumId w:val="54"/>
  </w:num>
  <w:num w:numId="38">
    <w:abstractNumId w:val="0"/>
  </w:num>
  <w:num w:numId="39">
    <w:abstractNumId w:val="20"/>
  </w:num>
  <w:num w:numId="40">
    <w:abstractNumId w:val="50"/>
  </w:num>
  <w:num w:numId="41">
    <w:abstractNumId w:val="21"/>
  </w:num>
  <w:num w:numId="42">
    <w:abstractNumId w:val="5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C6"/>
    <w:rsid w:val="00001155"/>
    <w:rsid w:val="000022E3"/>
    <w:rsid w:val="00004ED0"/>
    <w:rsid w:val="00005FE4"/>
    <w:rsid w:val="00011091"/>
    <w:rsid w:val="000112DB"/>
    <w:rsid w:val="00011706"/>
    <w:rsid w:val="00012803"/>
    <w:rsid w:val="00013979"/>
    <w:rsid w:val="00015B33"/>
    <w:rsid w:val="00016066"/>
    <w:rsid w:val="0002013C"/>
    <w:rsid w:val="00020923"/>
    <w:rsid w:val="00021F4E"/>
    <w:rsid w:val="00023E58"/>
    <w:rsid w:val="00023F67"/>
    <w:rsid w:val="00027BFF"/>
    <w:rsid w:val="0003164A"/>
    <w:rsid w:val="00032916"/>
    <w:rsid w:val="00034373"/>
    <w:rsid w:val="0003464F"/>
    <w:rsid w:val="00035E75"/>
    <w:rsid w:val="0004203A"/>
    <w:rsid w:val="00043628"/>
    <w:rsid w:val="00044B1B"/>
    <w:rsid w:val="00044D88"/>
    <w:rsid w:val="00047253"/>
    <w:rsid w:val="00047379"/>
    <w:rsid w:val="00047C94"/>
    <w:rsid w:val="00050256"/>
    <w:rsid w:val="00053D5C"/>
    <w:rsid w:val="00057734"/>
    <w:rsid w:val="000604E8"/>
    <w:rsid w:val="0006079A"/>
    <w:rsid w:val="00060B6D"/>
    <w:rsid w:val="000612BC"/>
    <w:rsid w:val="000616C2"/>
    <w:rsid w:val="00064767"/>
    <w:rsid w:val="00064A44"/>
    <w:rsid w:val="00065806"/>
    <w:rsid w:val="00065FFA"/>
    <w:rsid w:val="000662CD"/>
    <w:rsid w:val="000669AB"/>
    <w:rsid w:val="00072E51"/>
    <w:rsid w:val="00074885"/>
    <w:rsid w:val="00077108"/>
    <w:rsid w:val="00083B83"/>
    <w:rsid w:val="00083DA7"/>
    <w:rsid w:val="000857B3"/>
    <w:rsid w:val="00086089"/>
    <w:rsid w:val="00090603"/>
    <w:rsid w:val="00091A15"/>
    <w:rsid w:val="00093D0E"/>
    <w:rsid w:val="0009626A"/>
    <w:rsid w:val="000970EB"/>
    <w:rsid w:val="000A3B07"/>
    <w:rsid w:val="000A436F"/>
    <w:rsid w:val="000A475B"/>
    <w:rsid w:val="000A51C5"/>
    <w:rsid w:val="000A6E55"/>
    <w:rsid w:val="000B222C"/>
    <w:rsid w:val="000B273F"/>
    <w:rsid w:val="000B4A5D"/>
    <w:rsid w:val="000C0E7C"/>
    <w:rsid w:val="000C3021"/>
    <w:rsid w:val="000D0EC2"/>
    <w:rsid w:val="000D1458"/>
    <w:rsid w:val="000D190C"/>
    <w:rsid w:val="000D2D89"/>
    <w:rsid w:val="000D2F69"/>
    <w:rsid w:val="000D3703"/>
    <w:rsid w:val="000D4C77"/>
    <w:rsid w:val="000D733D"/>
    <w:rsid w:val="000D7E6B"/>
    <w:rsid w:val="000E13D5"/>
    <w:rsid w:val="000E2A3D"/>
    <w:rsid w:val="000E3DA0"/>
    <w:rsid w:val="000E5F85"/>
    <w:rsid w:val="000E66F7"/>
    <w:rsid w:val="000E6DF6"/>
    <w:rsid w:val="000E6EF1"/>
    <w:rsid w:val="000F0C79"/>
    <w:rsid w:val="000F0FC3"/>
    <w:rsid w:val="000F13DA"/>
    <w:rsid w:val="000F177D"/>
    <w:rsid w:val="000F24EB"/>
    <w:rsid w:val="000F4451"/>
    <w:rsid w:val="000F45F8"/>
    <w:rsid w:val="000F7DF9"/>
    <w:rsid w:val="00106737"/>
    <w:rsid w:val="00106D36"/>
    <w:rsid w:val="00106E29"/>
    <w:rsid w:val="00110223"/>
    <w:rsid w:val="0011332C"/>
    <w:rsid w:val="00113CFD"/>
    <w:rsid w:val="00113EF5"/>
    <w:rsid w:val="00114764"/>
    <w:rsid w:val="001147E5"/>
    <w:rsid w:val="001153E2"/>
    <w:rsid w:val="001173E9"/>
    <w:rsid w:val="00124167"/>
    <w:rsid w:val="00124EFF"/>
    <w:rsid w:val="001279EC"/>
    <w:rsid w:val="001302F0"/>
    <w:rsid w:val="00130561"/>
    <w:rsid w:val="00130632"/>
    <w:rsid w:val="00130CFA"/>
    <w:rsid w:val="0013205B"/>
    <w:rsid w:val="001339BD"/>
    <w:rsid w:val="0013442A"/>
    <w:rsid w:val="001355EA"/>
    <w:rsid w:val="00135C00"/>
    <w:rsid w:val="0013659F"/>
    <w:rsid w:val="0013663A"/>
    <w:rsid w:val="00140273"/>
    <w:rsid w:val="0014181E"/>
    <w:rsid w:val="001427EF"/>
    <w:rsid w:val="001433E0"/>
    <w:rsid w:val="00145AE7"/>
    <w:rsid w:val="00147792"/>
    <w:rsid w:val="0014795C"/>
    <w:rsid w:val="001517EE"/>
    <w:rsid w:val="00151B10"/>
    <w:rsid w:val="0015569E"/>
    <w:rsid w:val="00160607"/>
    <w:rsid w:val="00160B8A"/>
    <w:rsid w:val="00162B61"/>
    <w:rsid w:val="001638E6"/>
    <w:rsid w:val="00164539"/>
    <w:rsid w:val="001647E1"/>
    <w:rsid w:val="00171E84"/>
    <w:rsid w:val="00172E6F"/>
    <w:rsid w:val="00173A34"/>
    <w:rsid w:val="00173CE0"/>
    <w:rsid w:val="00182E60"/>
    <w:rsid w:val="0018324B"/>
    <w:rsid w:val="00187834"/>
    <w:rsid w:val="001902B4"/>
    <w:rsid w:val="00193310"/>
    <w:rsid w:val="00194813"/>
    <w:rsid w:val="001A0EE2"/>
    <w:rsid w:val="001A1E99"/>
    <w:rsid w:val="001A464F"/>
    <w:rsid w:val="001A4A6A"/>
    <w:rsid w:val="001A561D"/>
    <w:rsid w:val="001A6494"/>
    <w:rsid w:val="001B0F32"/>
    <w:rsid w:val="001B6548"/>
    <w:rsid w:val="001B658D"/>
    <w:rsid w:val="001B7B09"/>
    <w:rsid w:val="001B7E47"/>
    <w:rsid w:val="001C084E"/>
    <w:rsid w:val="001C1615"/>
    <w:rsid w:val="001C49FF"/>
    <w:rsid w:val="001C603B"/>
    <w:rsid w:val="001C617A"/>
    <w:rsid w:val="001C7530"/>
    <w:rsid w:val="001C78E3"/>
    <w:rsid w:val="001C7C1B"/>
    <w:rsid w:val="001D130E"/>
    <w:rsid w:val="001D1B64"/>
    <w:rsid w:val="001D4602"/>
    <w:rsid w:val="001D4AD4"/>
    <w:rsid w:val="001D620E"/>
    <w:rsid w:val="001E04A3"/>
    <w:rsid w:val="001E0547"/>
    <w:rsid w:val="001E088B"/>
    <w:rsid w:val="001E0B5F"/>
    <w:rsid w:val="001E0E67"/>
    <w:rsid w:val="001E1F7A"/>
    <w:rsid w:val="001E31F2"/>
    <w:rsid w:val="001E5C57"/>
    <w:rsid w:val="001E644B"/>
    <w:rsid w:val="001E6FBB"/>
    <w:rsid w:val="001E7A43"/>
    <w:rsid w:val="001F009B"/>
    <w:rsid w:val="001F2703"/>
    <w:rsid w:val="001F35B6"/>
    <w:rsid w:val="001F3B50"/>
    <w:rsid w:val="001F508B"/>
    <w:rsid w:val="001F565E"/>
    <w:rsid w:val="001F5CC7"/>
    <w:rsid w:val="001F631D"/>
    <w:rsid w:val="001F742B"/>
    <w:rsid w:val="002006EE"/>
    <w:rsid w:val="0020480A"/>
    <w:rsid w:val="00207F0C"/>
    <w:rsid w:val="002102DE"/>
    <w:rsid w:val="00210BDE"/>
    <w:rsid w:val="0021113F"/>
    <w:rsid w:val="00212E55"/>
    <w:rsid w:val="002131C9"/>
    <w:rsid w:val="002136F8"/>
    <w:rsid w:val="00213F87"/>
    <w:rsid w:val="00216067"/>
    <w:rsid w:val="0021646E"/>
    <w:rsid w:val="00217404"/>
    <w:rsid w:val="00217592"/>
    <w:rsid w:val="0021799F"/>
    <w:rsid w:val="002226FF"/>
    <w:rsid w:val="0022302E"/>
    <w:rsid w:val="0022369D"/>
    <w:rsid w:val="00223DF3"/>
    <w:rsid w:val="0022428B"/>
    <w:rsid w:val="00224673"/>
    <w:rsid w:val="00226D7F"/>
    <w:rsid w:val="002278DC"/>
    <w:rsid w:val="002278E1"/>
    <w:rsid w:val="002309BA"/>
    <w:rsid w:val="00231477"/>
    <w:rsid w:val="00233462"/>
    <w:rsid w:val="00233B2C"/>
    <w:rsid w:val="00235B14"/>
    <w:rsid w:val="00236843"/>
    <w:rsid w:val="00237F10"/>
    <w:rsid w:val="0024142B"/>
    <w:rsid w:val="00242890"/>
    <w:rsid w:val="00243BD5"/>
    <w:rsid w:val="00245EBF"/>
    <w:rsid w:val="00251F00"/>
    <w:rsid w:val="002528AC"/>
    <w:rsid w:val="00252DA2"/>
    <w:rsid w:val="002536FF"/>
    <w:rsid w:val="00254BF3"/>
    <w:rsid w:val="00260068"/>
    <w:rsid w:val="00260D92"/>
    <w:rsid w:val="00263344"/>
    <w:rsid w:val="00264FE1"/>
    <w:rsid w:val="00266C10"/>
    <w:rsid w:val="00266E76"/>
    <w:rsid w:val="00267A4A"/>
    <w:rsid w:val="0027029E"/>
    <w:rsid w:val="00271070"/>
    <w:rsid w:val="00271479"/>
    <w:rsid w:val="002719F5"/>
    <w:rsid w:val="00272A5F"/>
    <w:rsid w:val="00272C07"/>
    <w:rsid w:val="00274797"/>
    <w:rsid w:val="00276B9B"/>
    <w:rsid w:val="00277481"/>
    <w:rsid w:val="0028075C"/>
    <w:rsid w:val="00283621"/>
    <w:rsid w:val="00283A1B"/>
    <w:rsid w:val="00287F4F"/>
    <w:rsid w:val="00290185"/>
    <w:rsid w:val="00292A08"/>
    <w:rsid w:val="00293883"/>
    <w:rsid w:val="002943A1"/>
    <w:rsid w:val="00294BA4"/>
    <w:rsid w:val="00295B30"/>
    <w:rsid w:val="00295D2A"/>
    <w:rsid w:val="0029656A"/>
    <w:rsid w:val="00296CB6"/>
    <w:rsid w:val="002A2AE9"/>
    <w:rsid w:val="002A6831"/>
    <w:rsid w:val="002B0006"/>
    <w:rsid w:val="002B2C58"/>
    <w:rsid w:val="002B398A"/>
    <w:rsid w:val="002B3E47"/>
    <w:rsid w:val="002B6BF8"/>
    <w:rsid w:val="002B70C1"/>
    <w:rsid w:val="002B7775"/>
    <w:rsid w:val="002B78A2"/>
    <w:rsid w:val="002C1486"/>
    <w:rsid w:val="002C29CF"/>
    <w:rsid w:val="002C2CFB"/>
    <w:rsid w:val="002C3576"/>
    <w:rsid w:val="002C45CB"/>
    <w:rsid w:val="002C47E7"/>
    <w:rsid w:val="002C4894"/>
    <w:rsid w:val="002C5455"/>
    <w:rsid w:val="002C5C04"/>
    <w:rsid w:val="002C6924"/>
    <w:rsid w:val="002C7287"/>
    <w:rsid w:val="002C760C"/>
    <w:rsid w:val="002C7DB6"/>
    <w:rsid w:val="002D3D96"/>
    <w:rsid w:val="002D4496"/>
    <w:rsid w:val="002E05C3"/>
    <w:rsid w:val="002E1FF5"/>
    <w:rsid w:val="002E23F0"/>
    <w:rsid w:val="002E4F15"/>
    <w:rsid w:val="002E75FA"/>
    <w:rsid w:val="002E7F5B"/>
    <w:rsid w:val="002F0FCA"/>
    <w:rsid w:val="002F354A"/>
    <w:rsid w:val="00300691"/>
    <w:rsid w:val="00301FA7"/>
    <w:rsid w:val="003033D1"/>
    <w:rsid w:val="00306228"/>
    <w:rsid w:val="00306360"/>
    <w:rsid w:val="003071CE"/>
    <w:rsid w:val="0030722B"/>
    <w:rsid w:val="00307BE7"/>
    <w:rsid w:val="00311BCF"/>
    <w:rsid w:val="00313E73"/>
    <w:rsid w:val="00314A01"/>
    <w:rsid w:val="003150AB"/>
    <w:rsid w:val="0031733D"/>
    <w:rsid w:val="003173F5"/>
    <w:rsid w:val="00317CAD"/>
    <w:rsid w:val="00320C31"/>
    <w:rsid w:val="00321196"/>
    <w:rsid w:val="003245BF"/>
    <w:rsid w:val="00324CDE"/>
    <w:rsid w:val="00324F8A"/>
    <w:rsid w:val="00326713"/>
    <w:rsid w:val="00326B22"/>
    <w:rsid w:val="00326C6F"/>
    <w:rsid w:val="00327BE3"/>
    <w:rsid w:val="003309D6"/>
    <w:rsid w:val="00335930"/>
    <w:rsid w:val="00336713"/>
    <w:rsid w:val="00337904"/>
    <w:rsid w:val="00342058"/>
    <w:rsid w:val="003434A1"/>
    <w:rsid w:val="00343810"/>
    <w:rsid w:val="003442FE"/>
    <w:rsid w:val="00344BB2"/>
    <w:rsid w:val="00345389"/>
    <w:rsid w:val="003453F2"/>
    <w:rsid w:val="00345483"/>
    <w:rsid w:val="00352088"/>
    <w:rsid w:val="00353227"/>
    <w:rsid w:val="003550AE"/>
    <w:rsid w:val="0035513A"/>
    <w:rsid w:val="00356D6F"/>
    <w:rsid w:val="00357992"/>
    <w:rsid w:val="00360279"/>
    <w:rsid w:val="00360DE1"/>
    <w:rsid w:val="00360F55"/>
    <w:rsid w:val="003617B8"/>
    <w:rsid w:val="00362A4F"/>
    <w:rsid w:val="003632D7"/>
    <w:rsid w:val="003637AF"/>
    <w:rsid w:val="00364E9E"/>
    <w:rsid w:val="0036682E"/>
    <w:rsid w:val="003702EF"/>
    <w:rsid w:val="003705DF"/>
    <w:rsid w:val="00370759"/>
    <w:rsid w:val="00370C5F"/>
    <w:rsid w:val="003712BF"/>
    <w:rsid w:val="00372EC4"/>
    <w:rsid w:val="003738A1"/>
    <w:rsid w:val="0038301D"/>
    <w:rsid w:val="0038324F"/>
    <w:rsid w:val="00384276"/>
    <w:rsid w:val="00385A02"/>
    <w:rsid w:val="00385AE7"/>
    <w:rsid w:val="003867C4"/>
    <w:rsid w:val="003878DF"/>
    <w:rsid w:val="003901B3"/>
    <w:rsid w:val="00390368"/>
    <w:rsid w:val="00390E30"/>
    <w:rsid w:val="003923C7"/>
    <w:rsid w:val="00394DBE"/>
    <w:rsid w:val="003968AB"/>
    <w:rsid w:val="00397196"/>
    <w:rsid w:val="003971D9"/>
    <w:rsid w:val="003A2260"/>
    <w:rsid w:val="003A3E4E"/>
    <w:rsid w:val="003A4A30"/>
    <w:rsid w:val="003A76C3"/>
    <w:rsid w:val="003B119D"/>
    <w:rsid w:val="003B2686"/>
    <w:rsid w:val="003B2711"/>
    <w:rsid w:val="003B2987"/>
    <w:rsid w:val="003B451D"/>
    <w:rsid w:val="003B56D6"/>
    <w:rsid w:val="003C0AC2"/>
    <w:rsid w:val="003C0DEC"/>
    <w:rsid w:val="003C24A3"/>
    <w:rsid w:val="003C277A"/>
    <w:rsid w:val="003C2944"/>
    <w:rsid w:val="003C463C"/>
    <w:rsid w:val="003D090D"/>
    <w:rsid w:val="003D0CF9"/>
    <w:rsid w:val="003D1009"/>
    <w:rsid w:val="003D1F04"/>
    <w:rsid w:val="003D4065"/>
    <w:rsid w:val="003D5F11"/>
    <w:rsid w:val="003E3C1B"/>
    <w:rsid w:val="003E5466"/>
    <w:rsid w:val="003E726D"/>
    <w:rsid w:val="003F0231"/>
    <w:rsid w:val="003F20E7"/>
    <w:rsid w:val="003F3EAB"/>
    <w:rsid w:val="003F5BB5"/>
    <w:rsid w:val="003F684D"/>
    <w:rsid w:val="003F79F5"/>
    <w:rsid w:val="003F7B45"/>
    <w:rsid w:val="00402ABD"/>
    <w:rsid w:val="0040345E"/>
    <w:rsid w:val="00403B00"/>
    <w:rsid w:val="00403ED4"/>
    <w:rsid w:val="0040541C"/>
    <w:rsid w:val="004110DB"/>
    <w:rsid w:val="00411404"/>
    <w:rsid w:val="0041198E"/>
    <w:rsid w:val="00415F33"/>
    <w:rsid w:val="00416EFF"/>
    <w:rsid w:val="004212C1"/>
    <w:rsid w:val="00423FCB"/>
    <w:rsid w:val="0042422E"/>
    <w:rsid w:val="00424E0D"/>
    <w:rsid w:val="004265CE"/>
    <w:rsid w:val="00430D0F"/>
    <w:rsid w:val="0043387A"/>
    <w:rsid w:val="00437CB0"/>
    <w:rsid w:val="00440C25"/>
    <w:rsid w:val="004427DB"/>
    <w:rsid w:val="00442882"/>
    <w:rsid w:val="00442F2B"/>
    <w:rsid w:val="0044500B"/>
    <w:rsid w:val="00445295"/>
    <w:rsid w:val="00447B7A"/>
    <w:rsid w:val="00451093"/>
    <w:rsid w:val="00452A02"/>
    <w:rsid w:val="004556CC"/>
    <w:rsid w:val="00455810"/>
    <w:rsid w:val="00456E60"/>
    <w:rsid w:val="00456F76"/>
    <w:rsid w:val="00456FD2"/>
    <w:rsid w:val="00462962"/>
    <w:rsid w:val="0046585D"/>
    <w:rsid w:val="004679A0"/>
    <w:rsid w:val="0047004C"/>
    <w:rsid w:val="004700C0"/>
    <w:rsid w:val="0047204A"/>
    <w:rsid w:val="00474DFD"/>
    <w:rsid w:val="004765F4"/>
    <w:rsid w:val="00477775"/>
    <w:rsid w:val="004778A6"/>
    <w:rsid w:val="004832C4"/>
    <w:rsid w:val="00483A81"/>
    <w:rsid w:val="0048561B"/>
    <w:rsid w:val="004856C1"/>
    <w:rsid w:val="004870D2"/>
    <w:rsid w:val="00487722"/>
    <w:rsid w:val="00490540"/>
    <w:rsid w:val="00491132"/>
    <w:rsid w:val="004939E1"/>
    <w:rsid w:val="00495C50"/>
    <w:rsid w:val="004977B5"/>
    <w:rsid w:val="004A0A11"/>
    <w:rsid w:val="004A1B59"/>
    <w:rsid w:val="004A1F5A"/>
    <w:rsid w:val="004A380F"/>
    <w:rsid w:val="004A39BE"/>
    <w:rsid w:val="004A7016"/>
    <w:rsid w:val="004A7DFD"/>
    <w:rsid w:val="004B00E0"/>
    <w:rsid w:val="004B09CB"/>
    <w:rsid w:val="004B148A"/>
    <w:rsid w:val="004B1AD3"/>
    <w:rsid w:val="004B2516"/>
    <w:rsid w:val="004B3AE7"/>
    <w:rsid w:val="004B42C9"/>
    <w:rsid w:val="004C04C1"/>
    <w:rsid w:val="004C1566"/>
    <w:rsid w:val="004C1B10"/>
    <w:rsid w:val="004C1D88"/>
    <w:rsid w:val="004C3144"/>
    <w:rsid w:val="004C420A"/>
    <w:rsid w:val="004C4359"/>
    <w:rsid w:val="004C6270"/>
    <w:rsid w:val="004C6F72"/>
    <w:rsid w:val="004C7FDC"/>
    <w:rsid w:val="004D26C3"/>
    <w:rsid w:val="004D35AF"/>
    <w:rsid w:val="004D3930"/>
    <w:rsid w:val="004D5CB7"/>
    <w:rsid w:val="004E2D98"/>
    <w:rsid w:val="004E3D01"/>
    <w:rsid w:val="004E590B"/>
    <w:rsid w:val="004E60DA"/>
    <w:rsid w:val="004E68EB"/>
    <w:rsid w:val="004F0C1C"/>
    <w:rsid w:val="004F0F79"/>
    <w:rsid w:val="004F3533"/>
    <w:rsid w:val="004F4D88"/>
    <w:rsid w:val="00500F90"/>
    <w:rsid w:val="005015EF"/>
    <w:rsid w:val="005040C6"/>
    <w:rsid w:val="00505632"/>
    <w:rsid w:val="00505AF1"/>
    <w:rsid w:val="00505CB5"/>
    <w:rsid w:val="00506576"/>
    <w:rsid w:val="00511080"/>
    <w:rsid w:val="005119AD"/>
    <w:rsid w:val="0051201D"/>
    <w:rsid w:val="00512AF5"/>
    <w:rsid w:val="005151EC"/>
    <w:rsid w:val="00515B88"/>
    <w:rsid w:val="005166E8"/>
    <w:rsid w:val="00516AEF"/>
    <w:rsid w:val="00516F42"/>
    <w:rsid w:val="00517BC7"/>
    <w:rsid w:val="00522F9C"/>
    <w:rsid w:val="00525F13"/>
    <w:rsid w:val="005311AD"/>
    <w:rsid w:val="00532283"/>
    <w:rsid w:val="005322D7"/>
    <w:rsid w:val="00534BD6"/>
    <w:rsid w:val="0053510A"/>
    <w:rsid w:val="005363C0"/>
    <w:rsid w:val="00536BF6"/>
    <w:rsid w:val="00540873"/>
    <w:rsid w:val="00541E80"/>
    <w:rsid w:val="00542719"/>
    <w:rsid w:val="00545574"/>
    <w:rsid w:val="0054691C"/>
    <w:rsid w:val="0055148B"/>
    <w:rsid w:val="00551629"/>
    <w:rsid w:val="00553435"/>
    <w:rsid w:val="00554FE6"/>
    <w:rsid w:val="005556B4"/>
    <w:rsid w:val="00556A54"/>
    <w:rsid w:val="00560358"/>
    <w:rsid w:val="0056109F"/>
    <w:rsid w:val="00562CB9"/>
    <w:rsid w:val="005657F3"/>
    <w:rsid w:val="00566045"/>
    <w:rsid w:val="00571F27"/>
    <w:rsid w:val="00575CF1"/>
    <w:rsid w:val="0058042B"/>
    <w:rsid w:val="005804AE"/>
    <w:rsid w:val="00580BD0"/>
    <w:rsid w:val="00581303"/>
    <w:rsid w:val="00584475"/>
    <w:rsid w:val="00585EAB"/>
    <w:rsid w:val="00586611"/>
    <w:rsid w:val="0059081A"/>
    <w:rsid w:val="00592CA6"/>
    <w:rsid w:val="00596F8B"/>
    <w:rsid w:val="005A1202"/>
    <w:rsid w:val="005A18F6"/>
    <w:rsid w:val="005A1AF1"/>
    <w:rsid w:val="005A1E80"/>
    <w:rsid w:val="005A2289"/>
    <w:rsid w:val="005A37BE"/>
    <w:rsid w:val="005A3B8C"/>
    <w:rsid w:val="005A4EE9"/>
    <w:rsid w:val="005A6A75"/>
    <w:rsid w:val="005B09BC"/>
    <w:rsid w:val="005B156F"/>
    <w:rsid w:val="005B190A"/>
    <w:rsid w:val="005B1FCC"/>
    <w:rsid w:val="005B2A65"/>
    <w:rsid w:val="005B2B19"/>
    <w:rsid w:val="005B3F78"/>
    <w:rsid w:val="005B6D4F"/>
    <w:rsid w:val="005B7246"/>
    <w:rsid w:val="005B7FA8"/>
    <w:rsid w:val="005B7FAB"/>
    <w:rsid w:val="005C3212"/>
    <w:rsid w:val="005C36E1"/>
    <w:rsid w:val="005C40B2"/>
    <w:rsid w:val="005C4ADB"/>
    <w:rsid w:val="005C4C69"/>
    <w:rsid w:val="005C519E"/>
    <w:rsid w:val="005C51FF"/>
    <w:rsid w:val="005C5668"/>
    <w:rsid w:val="005C574F"/>
    <w:rsid w:val="005C7614"/>
    <w:rsid w:val="005D0525"/>
    <w:rsid w:val="005D21CA"/>
    <w:rsid w:val="005D2806"/>
    <w:rsid w:val="005D318B"/>
    <w:rsid w:val="005D5B51"/>
    <w:rsid w:val="005E455E"/>
    <w:rsid w:val="005E580D"/>
    <w:rsid w:val="005E7A1F"/>
    <w:rsid w:val="005F122D"/>
    <w:rsid w:val="005F1FCE"/>
    <w:rsid w:val="005F259A"/>
    <w:rsid w:val="005F5C43"/>
    <w:rsid w:val="005F747F"/>
    <w:rsid w:val="00600232"/>
    <w:rsid w:val="00600A2C"/>
    <w:rsid w:val="006013D9"/>
    <w:rsid w:val="006026C5"/>
    <w:rsid w:val="00604852"/>
    <w:rsid w:val="006056D1"/>
    <w:rsid w:val="00606DEE"/>
    <w:rsid w:val="0061223C"/>
    <w:rsid w:val="00612672"/>
    <w:rsid w:val="0061376C"/>
    <w:rsid w:val="00616BFB"/>
    <w:rsid w:val="00617B5A"/>
    <w:rsid w:val="00617F2D"/>
    <w:rsid w:val="00620B97"/>
    <w:rsid w:val="00621983"/>
    <w:rsid w:val="00622850"/>
    <w:rsid w:val="00623065"/>
    <w:rsid w:val="00624CEF"/>
    <w:rsid w:val="006261E4"/>
    <w:rsid w:val="00626B8A"/>
    <w:rsid w:val="00627A38"/>
    <w:rsid w:val="0063058C"/>
    <w:rsid w:val="00631357"/>
    <w:rsid w:val="00634C4B"/>
    <w:rsid w:val="006355A5"/>
    <w:rsid w:val="00636BD2"/>
    <w:rsid w:val="00637567"/>
    <w:rsid w:val="006402C8"/>
    <w:rsid w:val="00641112"/>
    <w:rsid w:val="00641B9B"/>
    <w:rsid w:val="00642B54"/>
    <w:rsid w:val="00642E40"/>
    <w:rsid w:val="006456FC"/>
    <w:rsid w:val="0064617F"/>
    <w:rsid w:val="00646E04"/>
    <w:rsid w:val="006506C8"/>
    <w:rsid w:val="0065134D"/>
    <w:rsid w:val="00651506"/>
    <w:rsid w:val="006528E9"/>
    <w:rsid w:val="00652FD5"/>
    <w:rsid w:val="0065364C"/>
    <w:rsid w:val="00653AD5"/>
    <w:rsid w:val="0065407C"/>
    <w:rsid w:val="00656610"/>
    <w:rsid w:val="006575BD"/>
    <w:rsid w:val="00662C25"/>
    <w:rsid w:val="00664907"/>
    <w:rsid w:val="00666609"/>
    <w:rsid w:val="006668BE"/>
    <w:rsid w:val="00666F4B"/>
    <w:rsid w:val="00670001"/>
    <w:rsid w:val="0067099A"/>
    <w:rsid w:val="00671001"/>
    <w:rsid w:val="00671391"/>
    <w:rsid w:val="006735A3"/>
    <w:rsid w:val="006738F7"/>
    <w:rsid w:val="006742BD"/>
    <w:rsid w:val="00675F46"/>
    <w:rsid w:val="0067748D"/>
    <w:rsid w:val="00684B7C"/>
    <w:rsid w:val="006863C3"/>
    <w:rsid w:val="00686C91"/>
    <w:rsid w:val="0068786B"/>
    <w:rsid w:val="00690EF7"/>
    <w:rsid w:val="00690FDC"/>
    <w:rsid w:val="00692AF0"/>
    <w:rsid w:val="006966BB"/>
    <w:rsid w:val="0069707B"/>
    <w:rsid w:val="006A0079"/>
    <w:rsid w:val="006A0369"/>
    <w:rsid w:val="006A0514"/>
    <w:rsid w:val="006A3B80"/>
    <w:rsid w:val="006A47ED"/>
    <w:rsid w:val="006A57B9"/>
    <w:rsid w:val="006B2D2A"/>
    <w:rsid w:val="006B7774"/>
    <w:rsid w:val="006C47CA"/>
    <w:rsid w:val="006C557F"/>
    <w:rsid w:val="006C76E4"/>
    <w:rsid w:val="006D07E6"/>
    <w:rsid w:val="006D3439"/>
    <w:rsid w:val="006D4344"/>
    <w:rsid w:val="006D48B7"/>
    <w:rsid w:val="006D4EEF"/>
    <w:rsid w:val="006E0DC3"/>
    <w:rsid w:val="006E1320"/>
    <w:rsid w:val="006E354C"/>
    <w:rsid w:val="006E42E5"/>
    <w:rsid w:val="006E4F55"/>
    <w:rsid w:val="006E6029"/>
    <w:rsid w:val="006E65D3"/>
    <w:rsid w:val="006E7B04"/>
    <w:rsid w:val="006E7E5F"/>
    <w:rsid w:val="006F1588"/>
    <w:rsid w:val="006F6358"/>
    <w:rsid w:val="00701816"/>
    <w:rsid w:val="00704568"/>
    <w:rsid w:val="00704AC6"/>
    <w:rsid w:val="0070784A"/>
    <w:rsid w:val="0071051B"/>
    <w:rsid w:val="00711F86"/>
    <w:rsid w:val="007131B6"/>
    <w:rsid w:val="00714040"/>
    <w:rsid w:val="00714740"/>
    <w:rsid w:val="00720DEF"/>
    <w:rsid w:val="00720ED7"/>
    <w:rsid w:val="007210C3"/>
    <w:rsid w:val="007210CE"/>
    <w:rsid w:val="00725183"/>
    <w:rsid w:val="00727623"/>
    <w:rsid w:val="0073004B"/>
    <w:rsid w:val="00732292"/>
    <w:rsid w:val="00733324"/>
    <w:rsid w:val="007373D0"/>
    <w:rsid w:val="007427EA"/>
    <w:rsid w:val="007442D1"/>
    <w:rsid w:val="00751368"/>
    <w:rsid w:val="00753FD5"/>
    <w:rsid w:val="00754B9F"/>
    <w:rsid w:val="00755E73"/>
    <w:rsid w:val="00756028"/>
    <w:rsid w:val="007560FA"/>
    <w:rsid w:val="007562F3"/>
    <w:rsid w:val="00757034"/>
    <w:rsid w:val="007605D3"/>
    <w:rsid w:val="00763443"/>
    <w:rsid w:val="00765010"/>
    <w:rsid w:val="00765DF4"/>
    <w:rsid w:val="00765E22"/>
    <w:rsid w:val="00770047"/>
    <w:rsid w:val="0077005D"/>
    <w:rsid w:val="00770FEA"/>
    <w:rsid w:val="007715BD"/>
    <w:rsid w:val="00774DFF"/>
    <w:rsid w:val="0077519B"/>
    <w:rsid w:val="0077718E"/>
    <w:rsid w:val="00777B67"/>
    <w:rsid w:val="00781236"/>
    <w:rsid w:val="00781E86"/>
    <w:rsid w:val="00782392"/>
    <w:rsid w:val="0078372F"/>
    <w:rsid w:val="007847E8"/>
    <w:rsid w:val="0078642F"/>
    <w:rsid w:val="007907BA"/>
    <w:rsid w:val="007928FD"/>
    <w:rsid w:val="00793EBB"/>
    <w:rsid w:val="00794FA9"/>
    <w:rsid w:val="00797AC9"/>
    <w:rsid w:val="007A0735"/>
    <w:rsid w:val="007A1ED4"/>
    <w:rsid w:val="007B0BF1"/>
    <w:rsid w:val="007B18B8"/>
    <w:rsid w:val="007C234B"/>
    <w:rsid w:val="007C2B22"/>
    <w:rsid w:val="007C2FC7"/>
    <w:rsid w:val="007C3359"/>
    <w:rsid w:val="007C570B"/>
    <w:rsid w:val="007D0922"/>
    <w:rsid w:val="007D17B1"/>
    <w:rsid w:val="007D240F"/>
    <w:rsid w:val="007D2FE5"/>
    <w:rsid w:val="007D454D"/>
    <w:rsid w:val="007D56AB"/>
    <w:rsid w:val="007D7D49"/>
    <w:rsid w:val="007E1B64"/>
    <w:rsid w:val="007E1FF0"/>
    <w:rsid w:val="007E5D86"/>
    <w:rsid w:val="007E5E15"/>
    <w:rsid w:val="007E7EB3"/>
    <w:rsid w:val="007F0AFC"/>
    <w:rsid w:val="007F54C4"/>
    <w:rsid w:val="007F63C1"/>
    <w:rsid w:val="0080074F"/>
    <w:rsid w:val="00800C2E"/>
    <w:rsid w:val="00802029"/>
    <w:rsid w:val="00802307"/>
    <w:rsid w:val="0080269D"/>
    <w:rsid w:val="00802E3E"/>
    <w:rsid w:val="008044CD"/>
    <w:rsid w:val="0080489F"/>
    <w:rsid w:val="008059F8"/>
    <w:rsid w:val="00810DC4"/>
    <w:rsid w:val="00811CEE"/>
    <w:rsid w:val="00812199"/>
    <w:rsid w:val="00812EAC"/>
    <w:rsid w:val="00813806"/>
    <w:rsid w:val="00813BB6"/>
    <w:rsid w:val="0081423F"/>
    <w:rsid w:val="0081596C"/>
    <w:rsid w:val="008169F8"/>
    <w:rsid w:val="00820A32"/>
    <w:rsid w:val="00821624"/>
    <w:rsid w:val="00823793"/>
    <w:rsid w:val="008249AD"/>
    <w:rsid w:val="00824B45"/>
    <w:rsid w:val="00827004"/>
    <w:rsid w:val="008307D4"/>
    <w:rsid w:val="00830C69"/>
    <w:rsid w:val="00831411"/>
    <w:rsid w:val="00832BD9"/>
    <w:rsid w:val="008331F9"/>
    <w:rsid w:val="0083516A"/>
    <w:rsid w:val="008361B6"/>
    <w:rsid w:val="00836FE3"/>
    <w:rsid w:val="00841246"/>
    <w:rsid w:val="00841463"/>
    <w:rsid w:val="00841B8A"/>
    <w:rsid w:val="00841F5F"/>
    <w:rsid w:val="008448B5"/>
    <w:rsid w:val="00845FB2"/>
    <w:rsid w:val="00846308"/>
    <w:rsid w:val="0084647C"/>
    <w:rsid w:val="00850016"/>
    <w:rsid w:val="008514E7"/>
    <w:rsid w:val="00851E2E"/>
    <w:rsid w:val="0085689E"/>
    <w:rsid w:val="008576FD"/>
    <w:rsid w:val="008635BA"/>
    <w:rsid w:val="00863935"/>
    <w:rsid w:val="00863F61"/>
    <w:rsid w:val="00866B50"/>
    <w:rsid w:val="00866E74"/>
    <w:rsid w:val="0087077F"/>
    <w:rsid w:val="008710EF"/>
    <w:rsid w:val="00872467"/>
    <w:rsid w:val="00872F63"/>
    <w:rsid w:val="00873583"/>
    <w:rsid w:val="00875618"/>
    <w:rsid w:val="008758FF"/>
    <w:rsid w:val="00875986"/>
    <w:rsid w:val="00876D29"/>
    <w:rsid w:val="008770A8"/>
    <w:rsid w:val="00877393"/>
    <w:rsid w:val="00881029"/>
    <w:rsid w:val="00881228"/>
    <w:rsid w:val="00882025"/>
    <w:rsid w:val="00884C9C"/>
    <w:rsid w:val="008851B7"/>
    <w:rsid w:val="0088535B"/>
    <w:rsid w:val="008910F9"/>
    <w:rsid w:val="00892DB2"/>
    <w:rsid w:val="00893D01"/>
    <w:rsid w:val="008957E8"/>
    <w:rsid w:val="00896926"/>
    <w:rsid w:val="008A06A3"/>
    <w:rsid w:val="008A08D4"/>
    <w:rsid w:val="008A10C9"/>
    <w:rsid w:val="008A12C3"/>
    <w:rsid w:val="008A1949"/>
    <w:rsid w:val="008A2AAB"/>
    <w:rsid w:val="008A3151"/>
    <w:rsid w:val="008A4BEF"/>
    <w:rsid w:val="008A5B65"/>
    <w:rsid w:val="008A7E31"/>
    <w:rsid w:val="008B038C"/>
    <w:rsid w:val="008B17BC"/>
    <w:rsid w:val="008B1AFD"/>
    <w:rsid w:val="008B2781"/>
    <w:rsid w:val="008B4D53"/>
    <w:rsid w:val="008C1727"/>
    <w:rsid w:val="008C26FA"/>
    <w:rsid w:val="008C434B"/>
    <w:rsid w:val="008C4F42"/>
    <w:rsid w:val="008C7E91"/>
    <w:rsid w:val="008D025B"/>
    <w:rsid w:val="008D1561"/>
    <w:rsid w:val="008D1AB1"/>
    <w:rsid w:val="008D24F9"/>
    <w:rsid w:val="008D2AB4"/>
    <w:rsid w:val="008D36C6"/>
    <w:rsid w:val="008D42B0"/>
    <w:rsid w:val="008D5A25"/>
    <w:rsid w:val="008D6F2E"/>
    <w:rsid w:val="008D7AFD"/>
    <w:rsid w:val="008E0FE3"/>
    <w:rsid w:val="008E139A"/>
    <w:rsid w:val="008E6147"/>
    <w:rsid w:val="008E7C01"/>
    <w:rsid w:val="008F00E3"/>
    <w:rsid w:val="008F0FE2"/>
    <w:rsid w:val="008F1863"/>
    <w:rsid w:val="008F5842"/>
    <w:rsid w:val="008F5D7F"/>
    <w:rsid w:val="008F7267"/>
    <w:rsid w:val="008F76BA"/>
    <w:rsid w:val="008F7F63"/>
    <w:rsid w:val="00900627"/>
    <w:rsid w:val="009041B1"/>
    <w:rsid w:val="009049DC"/>
    <w:rsid w:val="00905062"/>
    <w:rsid w:val="00906310"/>
    <w:rsid w:val="00907647"/>
    <w:rsid w:val="00914EC9"/>
    <w:rsid w:val="00915959"/>
    <w:rsid w:val="009228A9"/>
    <w:rsid w:val="00922FA6"/>
    <w:rsid w:val="0092405C"/>
    <w:rsid w:val="009264C0"/>
    <w:rsid w:val="0092690E"/>
    <w:rsid w:val="00930C3F"/>
    <w:rsid w:val="009338ED"/>
    <w:rsid w:val="00933D79"/>
    <w:rsid w:val="00935082"/>
    <w:rsid w:val="00935A21"/>
    <w:rsid w:val="00935D5F"/>
    <w:rsid w:val="0093659C"/>
    <w:rsid w:val="00943D6E"/>
    <w:rsid w:val="0094405B"/>
    <w:rsid w:val="009470BB"/>
    <w:rsid w:val="00947226"/>
    <w:rsid w:val="00950723"/>
    <w:rsid w:val="00952056"/>
    <w:rsid w:val="009532AD"/>
    <w:rsid w:val="009559A9"/>
    <w:rsid w:val="009565C2"/>
    <w:rsid w:val="009666BD"/>
    <w:rsid w:val="00967A6F"/>
    <w:rsid w:val="00973E0A"/>
    <w:rsid w:val="00974742"/>
    <w:rsid w:val="00975649"/>
    <w:rsid w:val="009772A5"/>
    <w:rsid w:val="009773EF"/>
    <w:rsid w:val="0097743D"/>
    <w:rsid w:val="0097767A"/>
    <w:rsid w:val="009817C8"/>
    <w:rsid w:val="00982245"/>
    <w:rsid w:val="00982B6D"/>
    <w:rsid w:val="00982FCE"/>
    <w:rsid w:val="00983130"/>
    <w:rsid w:val="00985260"/>
    <w:rsid w:val="009861E0"/>
    <w:rsid w:val="00987939"/>
    <w:rsid w:val="009915CC"/>
    <w:rsid w:val="00992DC9"/>
    <w:rsid w:val="00996E4D"/>
    <w:rsid w:val="0099703D"/>
    <w:rsid w:val="009975E5"/>
    <w:rsid w:val="00997C58"/>
    <w:rsid w:val="009A18D5"/>
    <w:rsid w:val="009A1C95"/>
    <w:rsid w:val="009A25CC"/>
    <w:rsid w:val="009A52EF"/>
    <w:rsid w:val="009A53A7"/>
    <w:rsid w:val="009A554F"/>
    <w:rsid w:val="009A5D5E"/>
    <w:rsid w:val="009A7548"/>
    <w:rsid w:val="009B1204"/>
    <w:rsid w:val="009B22C5"/>
    <w:rsid w:val="009B2A91"/>
    <w:rsid w:val="009B34D3"/>
    <w:rsid w:val="009B3B10"/>
    <w:rsid w:val="009B5C10"/>
    <w:rsid w:val="009B6508"/>
    <w:rsid w:val="009C15CD"/>
    <w:rsid w:val="009C27F4"/>
    <w:rsid w:val="009C2F66"/>
    <w:rsid w:val="009D1497"/>
    <w:rsid w:val="009D21D4"/>
    <w:rsid w:val="009D29DA"/>
    <w:rsid w:val="009D7D46"/>
    <w:rsid w:val="009E03AF"/>
    <w:rsid w:val="009E0D52"/>
    <w:rsid w:val="009E1573"/>
    <w:rsid w:val="009E197D"/>
    <w:rsid w:val="009E1DB3"/>
    <w:rsid w:val="009E50DE"/>
    <w:rsid w:val="009E5E7A"/>
    <w:rsid w:val="009F466D"/>
    <w:rsid w:val="00A01B86"/>
    <w:rsid w:val="00A0329E"/>
    <w:rsid w:val="00A04167"/>
    <w:rsid w:val="00A0419F"/>
    <w:rsid w:val="00A043A9"/>
    <w:rsid w:val="00A07160"/>
    <w:rsid w:val="00A1028F"/>
    <w:rsid w:val="00A13E83"/>
    <w:rsid w:val="00A14A89"/>
    <w:rsid w:val="00A15F26"/>
    <w:rsid w:val="00A167E4"/>
    <w:rsid w:val="00A171F4"/>
    <w:rsid w:val="00A17ABE"/>
    <w:rsid w:val="00A17BEA"/>
    <w:rsid w:val="00A208AD"/>
    <w:rsid w:val="00A21C32"/>
    <w:rsid w:val="00A23362"/>
    <w:rsid w:val="00A23677"/>
    <w:rsid w:val="00A2454C"/>
    <w:rsid w:val="00A24E1C"/>
    <w:rsid w:val="00A25E1A"/>
    <w:rsid w:val="00A26D83"/>
    <w:rsid w:val="00A339E9"/>
    <w:rsid w:val="00A362F1"/>
    <w:rsid w:val="00A400B9"/>
    <w:rsid w:val="00A42534"/>
    <w:rsid w:val="00A446BF"/>
    <w:rsid w:val="00A44B65"/>
    <w:rsid w:val="00A45257"/>
    <w:rsid w:val="00A460EC"/>
    <w:rsid w:val="00A52441"/>
    <w:rsid w:val="00A5257A"/>
    <w:rsid w:val="00A5389A"/>
    <w:rsid w:val="00A55365"/>
    <w:rsid w:val="00A55389"/>
    <w:rsid w:val="00A604EB"/>
    <w:rsid w:val="00A60B83"/>
    <w:rsid w:val="00A6243D"/>
    <w:rsid w:val="00A65076"/>
    <w:rsid w:val="00A6520A"/>
    <w:rsid w:val="00A65EAE"/>
    <w:rsid w:val="00A668C9"/>
    <w:rsid w:val="00A676B0"/>
    <w:rsid w:val="00A734AA"/>
    <w:rsid w:val="00A7685E"/>
    <w:rsid w:val="00A81098"/>
    <w:rsid w:val="00A8165C"/>
    <w:rsid w:val="00A81F08"/>
    <w:rsid w:val="00A81FB2"/>
    <w:rsid w:val="00A842B2"/>
    <w:rsid w:val="00A849EE"/>
    <w:rsid w:val="00A8568A"/>
    <w:rsid w:val="00A85FAF"/>
    <w:rsid w:val="00A86B55"/>
    <w:rsid w:val="00A87484"/>
    <w:rsid w:val="00A876D1"/>
    <w:rsid w:val="00A90C45"/>
    <w:rsid w:val="00A92E08"/>
    <w:rsid w:val="00A93848"/>
    <w:rsid w:val="00AA0110"/>
    <w:rsid w:val="00AA2BF9"/>
    <w:rsid w:val="00AA2EBB"/>
    <w:rsid w:val="00AA4C93"/>
    <w:rsid w:val="00AB20DB"/>
    <w:rsid w:val="00AB2A88"/>
    <w:rsid w:val="00AB3114"/>
    <w:rsid w:val="00AB44BD"/>
    <w:rsid w:val="00AB4CA3"/>
    <w:rsid w:val="00AB534C"/>
    <w:rsid w:val="00AB719B"/>
    <w:rsid w:val="00AC0ED3"/>
    <w:rsid w:val="00AC18B7"/>
    <w:rsid w:val="00AC2A0E"/>
    <w:rsid w:val="00AC55DA"/>
    <w:rsid w:val="00AC5EEC"/>
    <w:rsid w:val="00AC68DD"/>
    <w:rsid w:val="00AC73D6"/>
    <w:rsid w:val="00AC78A4"/>
    <w:rsid w:val="00AC7A2F"/>
    <w:rsid w:val="00AD08A3"/>
    <w:rsid w:val="00AD1E11"/>
    <w:rsid w:val="00AD7CDD"/>
    <w:rsid w:val="00AE056B"/>
    <w:rsid w:val="00AE2095"/>
    <w:rsid w:val="00AE3790"/>
    <w:rsid w:val="00AE741B"/>
    <w:rsid w:val="00AE7CF0"/>
    <w:rsid w:val="00AF0C5E"/>
    <w:rsid w:val="00AF10B0"/>
    <w:rsid w:val="00AF188E"/>
    <w:rsid w:val="00AF4D97"/>
    <w:rsid w:val="00AF63B7"/>
    <w:rsid w:val="00AF6DA1"/>
    <w:rsid w:val="00B0045B"/>
    <w:rsid w:val="00B02DF6"/>
    <w:rsid w:val="00B04BD3"/>
    <w:rsid w:val="00B0616F"/>
    <w:rsid w:val="00B0674A"/>
    <w:rsid w:val="00B10C06"/>
    <w:rsid w:val="00B13424"/>
    <w:rsid w:val="00B13DF0"/>
    <w:rsid w:val="00B1436F"/>
    <w:rsid w:val="00B159CC"/>
    <w:rsid w:val="00B15C0F"/>
    <w:rsid w:val="00B16C0A"/>
    <w:rsid w:val="00B20907"/>
    <w:rsid w:val="00B20F81"/>
    <w:rsid w:val="00B21423"/>
    <w:rsid w:val="00B22270"/>
    <w:rsid w:val="00B22298"/>
    <w:rsid w:val="00B236E6"/>
    <w:rsid w:val="00B24D80"/>
    <w:rsid w:val="00B24F00"/>
    <w:rsid w:val="00B26320"/>
    <w:rsid w:val="00B273B6"/>
    <w:rsid w:val="00B314AD"/>
    <w:rsid w:val="00B33059"/>
    <w:rsid w:val="00B34C64"/>
    <w:rsid w:val="00B40F7B"/>
    <w:rsid w:val="00B410F0"/>
    <w:rsid w:val="00B41211"/>
    <w:rsid w:val="00B4206B"/>
    <w:rsid w:val="00B43242"/>
    <w:rsid w:val="00B4337E"/>
    <w:rsid w:val="00B52DD6"/>
    <w:rsid w:val="00B53944"/>
    <w:rsid w:val="00B53F24"/>
    <w:rsid w:val="00B548E2"/>
    <w:rsid w:val="00B5688D"/>
    <w:rsid w:val="00B56BB7"/>
    <w:rsid w:val="00B56FE8"/>
    <w:rsid w:val="00B57294"/>
    <w:rsid w:val="00B576CA"/>
    <w:rsid w:val="00B607C8"/>
    <w:rsid w:val="00B61FBA"/>
    <w:rsid w:val="00B6262B"/>
    <w:rsid w:val="00B62BB2"/>
    <w:rsid w:val="00B66344"/>
    <w:rsid w:val="00B67491"/>
    <w:rsid w:val="00B72D8A"/>
    <w:rsid w:val="00B75093"/>
    <w:rsid w:val="00B81A86"/>
    <w:rsid w:val="00B81F70"/>
    <w:rsid w:val="00B841D3"/>
    <w:rsid w:val="00B861E0"/>
    <w:rsid w:val="00B92CFB"/>
    <w:rsid w:val="00B92F12"/>
    <w:rsid w:val="00B933FA"/>
    <w:rsid w:val="00B94D8A"/>
    <w:rsid w:val="00B9792B"/>
    <w:rsid w:val="00B97E32"/>
    <w:rsid w:val="00BA0426"/>
    <w:rsid w:val="00BA252E"/>
    <w:rsid w:val="00BA4D24"/>
    <w:rsid w:val="00BA56F3"/>
    <w:rsid w:val="00BA6875"/>
    <w:rsid w:val="00BB07DC"/>
    <w:rsid w:val="00BB2226"/>
    <w:rsid w:val="00BB2775"/>
    <w:rsid w:val="00BB2AB4"/>
    <w:rsid w:val="00BB45EA"/>
    <w:rsid w:val="00BB5BAF"/>
    <w:rsid w:val="00BC1D5A"/>
    <w:rsid w:val="00BC1F8D"/>
    <w:rsid w:val="00BC76A7"/>
    <w:rsid w:val="00BD0158"/>
    <w:rsid w:val="00BD22FC"/>
    <w:rsid w:val="00BD3013"/>
    <w:rsid w:val="00BD3523"/>
    <w:rsid w:val="00BD4DA2"/>
    <w:rsid w:val="00BD5B22"/>
    <w:rsid w:val="00BD6BE4"/>
    <w:rsid w:val="00BD6DA5"/>
    <w:rsid w:val="00BD6E5D"/>
    <w:rsid w:val="00BD6EDA"/>
    <w:rsid w:val="00BE193B"/>
    <w:rsid w:val="00BE2E4A"/>
    <w:rsid w:val="00BE3988"/>
    <w:rsid w:val="00BE5F19"/>
    <w:rsid w:val="00BE7A80"/>
    <w:rsid w:val="00BF0624"/>
    <w:rsid w:val="00BF1368"/>
    <w:rsid w:val="00BF16E2"/>
    <w:rsid w:val="00BF1DFD"/>
    <w:rsid w:val="00BF21D1"/>
    <w:rsid w:val="00BF2839"/>
    <w:rsid w:val="00BF564B"/>
    <w:rsid w:val="00BF6321"/>
    <w:rsid w:val="00BF66D9"/>
    <w:rsid w:val="00C00CBB"/>
    <w:rsid w:val="00C0198E"/>
    <w:rsid w:val="00C01AE9"/>
    <w:rsid w:val="00C03F6C"/>
    <w:rsid w:val="00C046FE"/>
    <w:rsid w:val="00C04AAB"/>
    <w:rsid w:val="00C06793"/>
    <w:rsid w:val="00C067A2"/>
    <w:rsid w:val="00C10C72"/>
    <w:rsid w:val="00C1122F"/>
    <w:rsid w:val="00C13569"/>
    <w:rsid w:val="00C13BC2"/>
    <w:rsid w:val="00C20C89"/>
    <w:rsid w:val="00C210B7"/>
    <w:rsid w:val="00C21DB3"/>
    <w:rsid w:val="00C222AB"/>
    <w:rsid w:val="00C2378A"/>
    <w:rsid w:val="00C242D3"/>
    <w:rsid w:val="00C27C5F"/>
    <w:rsid w:val="00C330E6"/>
    <w:rsid w:val="00C3503E"/>
    <w:rsid w:val="00C364A4"/>
    <w:rsid w:val="00C36EA6"/>
    <w:rsid w:val="00C37918"/>
    <w:rsid w:val="00C37C45"/>
    <w:rsid w:val="00C425CA"/>
    <w:rsid w:val="00C43638"/>
    <w:rsid w:val="00C44DB2"/>
    <w:rsid w:val="00C45E6C"/>
    <w:rsid w:val="00C46C66"/>
    <w:rsid w:val="00C46D33"/>
    <w:rsid w:val="00C46E7B"/>
    <w:rsid w:val="00C46F0F"/>
    <w:rsid w:val="00C51852"/>
    <w:rsid w:val="00C51C06"/>
    <w:rsid w:val="00C537CC"/>
    <w:rsid w:val="00C54191"/>
    <w:rsid w:val="00C543B6"/>
    <w:rsid w:val="00C562A4"/>
    <w:rsid w:val="00C566E7"/>
    <w:rsid w:val="00C571BB"/>
    <w:rsid w:val="00C61EE5"/>
    <w:rsid w:val="00C62956"/>
    <w:rsid w:val="00C655AC"/>
    <w:rsid w:val="00C65A45"/>
    <w:rsid w:val="00C65A7A"/>
    <w:rsid w:val="00C65DBB"/>
    <w:rsid w:val="00C673BB"/>
    <w:rsid w:val="00C6765A"/>
    <w:rsid w:val="00C676FD"/>
    <w:rsid w:val="00C67EC7"/>
    <w:rsid w:val="00C7435A"/>
    <w:rsid w:val="00C743E2"/>
    <w:rsid w:val="00C744B0"/>
    <w:rsid w:val="00C75145"/>
    <w:rsid w:val="00C77FFC"/>
    <w:rsid w:val="00C81F2E"/>
    <w:rsid w:val="00C823F0"/>
    <w:rsid w:val="00C83771"/>
    <w:rsid w:val="00C84ABF"/>
    <w:rsid w:val="00C85D74"/>
    <w:rsid w:val="00C86D17"/>
    <w:rsid w:val="00C87297"/>
    <w:rsid w:val="00C877F0"/>
    <w:rsid w:val="00C87D51"/>
    <w:rsid w:val="00C91840"/>
    <w:rsid w:val="00C93C75"/>
    <w:rsid w:val="00C940B4"/>
    <w:rsid w:val="00C95253"/>
    <w:rsid w:val="00C95615"/>
    <w:rsid w:val="00C96E99"/>
    <w:rsid w:val="00CA0FFF"/>
    <w:rsid w:val="00CA4C1B"/>
    <w:rsid w:val="00CA75E5"/>
    <w:rsid w:val="00CA784A"/>
    <w:rsid w:val="00CB09C2"/>
    <w:rsid w:val="00CB1684"/>
    <w:rsid w:val="00CB1A18"/>
    <w:rsid w:val="00CB375F"/>
    <w:rsid w:val="00CB4A6F"/>
    <w:rsid w:val="00CB50AA"/>
    <w:rsid w:val="00CB5370"/>
    <w:rsid w:val="00CB605C"/>
    <w:rsid w:val="00CC0A64"/>
    <w:rsid w:val="00CC272F"/>
    <w:rsid w:val="00CC33AB"/>
    <w:rsid w:val="00CC3CAC"/>
    <w:rsid w:val="00CC464E"/>
    <w:rsid w:val="00CC469A"/>
    <w:rsid w:val="00CC4E85"/>
    <w:rsid w:val="00CC6650"/>
    <w:rsid w:val="00CC6CAF"/>
    <w:rsid w:val="00CC7EE9"/>
    <w:rsid w:val="00CD14CC"/>
    <w:rsid w:val="00CD1CA3"/>
    <w:rsid w:val="00CD5E0F"/>
    <w:rsid w:val="00CD6BA9"/>
    <w:rsid w:val="00CE4513"/>
    <w:rsid w:val="00CE48F2"/>
    <w:rsid w:val="00CE5FA3"/>
    <w:rsid w:val="00CE6E13"/>
    <w:rsid w:val="00CF0F1F"/>
    <w:rsid w:val="00CF107C"/>
    <w:rsid w:val="00CF1E59"/>
    <w:rsid w:val="00CF473E"/>
    <w:rsid w:val="00CF5B1C"/>
    <w:rsid w:val="00CF6426"/>
    <w:rsid w:val="00CF7DF8"/>
    <w:rsid w:val="00D0007B"/>
    <w:rsid w:val="00D01C85"/>
    <w:rsid w:val="00D03F28"/>
    <w:rsid w:val="00D07737"/>
    <w:rsid w:val="00D1247D"/>
    <w:rsid w:val="00D12E4D"/>
    <w:rsid w:val="00D152D5"/>
    <w:rsid w:val="00D167F4"/>
    <w:rsid w:val="00D20956"/>
    <w:rsid w:val="00D214A4"/>
    <w:rsid w:val="00D21510"/>
    <w:rsid w:val="00D22368"/>
    <w:rsid w:val="00D25177"/>
    <w:rsid w:val="00D25DFF"/>
    <w:rsid w:val="00D27282"/>
    <w:rsid w:val="00D33704"/>
    <w:rsid w:val="00D34FEA"/>
    <w:rsid w:val="00D35604"/>
    <w:rsid w:val="00D368D6"/>
    <w:rsid w:val="00D40319"/>
    <w:rsid w:val="00D43010"/>
    <w:rsid w:val="00D435AD"/>
    <w:rsid w:val="00D43D9E"/>
    <w:rsid w:val="00D47488"/>
    <w:rsid w:val="00D47D56"/>
    <w:rsid w:val="00D53397"/>
    <w:rsid w:val="00D546FA"/>
    <w:rsid w:val="00D5681C"/>
    <w:rsid w:val="00D56876"/>
    <w:rsid w:val="00D57C4C"/>
    <w:rsid w:val="00D60A86"/>
    <w:rsid w:val="00D60DCA"/>
    <w:rsid w:val="00D61ED0"/>
    <w:rsid w:val="00D632D2"/>
    <w:rsid w:val="00D63D38"/>
    <w:rsid w:val="00D658BC"/>
    <w:rsid w:val="00D677DC"/>
    <w:rsid w:val="00D67F14"/>
    <w:rsid w:val="00D7171B"/>
    <w:rsid w:val="00D73407"/>
    <w:rsid w:val="00D73543"/>
    <w:rsid w:val="00D7553D"/>
    <w:rsid w:val="00D76876"/>
    <w:rsid w:val="00D77B69"/>
    <w:rsid w:val="00D81A8B"/>
    <w:rsid w:val="00D81C47"/>
    <w:rsid w:val="00D82891"/>
    <w:rsid w:val="00D82A40"/>
    <w:rsid w:val="00D82D34"/>
    <w:rsid w:val="00D84E65"/>
    <w:rsid w:val="00D86A56"/>
    <w:rsid w:val="00D87165"/>
    <w:rsid w:val="00D87C16"/>
    <w:rsid w:val="00D9107C"/>
    <w:rsid w:val="00D91306"/>
    <w:rsid w:val="00D917FA"/>
    <w:rsid w:val="00D9298C"/>
    <w:rsid w:val="00D95EE0"/>
    <w:rsid w:val="00D9639B"/>
    <w:rsid w:val="00D97A3D"/>
    <w:rsid w:val="00DA1ACA"/>
    <w:rsid w:val="00DA25C0"/>
    <w:rsid w:val="00DA28FE"/>
    <w:rsid w:val="00DA32C6"/>
    <w:rsid w:val="00DA34BE"/>
    <w:rsid w:val="00DA378D"/>
    <w:rsid w:val="00DA5DC5"/>
    <w:rsid w:val="00DA67FC"/>
    <w:rsid w:val="00DB1F92"/>
    <w:rsid w:val="00DB360B"/>
    <w:rsid w:val="00DB4889"/>
    <w:rsid w:val="00DB7F00"/>
    <w:rsid w:val="00DC0E47"/>
    <w:rsid w:val="00DC50FE"/>
    <w:rsid w:val="00DC678C"/>
    <w:rsid w:val="00DC69B9"/>
    <w:rsid w:val="00DC6B0E"/>
    <w:rsid w:val="00DC6C17"/>
    <w:rsid w:val="00DC6E95"/>
    <w:rsid w:val="00DC72DC"/>
    <w:rsid w:val="00DD0509"/>
    <w:rsid w:val="00DD0E08"/>
    <w:rsid w:val="00DD1E66"/>
    <w:rsid w:val="00DD2558"/>
    <w:rsid w:val="00DD3576"/>
    <w:rsid w:val="00DD393F"/>
    <w:rsid w:val="00DD4EA8"/>
    <w:rsid w:val="00DE0DC1"/>
    <w:rsid w:val="00DE3BA0"/>
    <w:rsid w:val="00DE4441"/>
    <w:rsid w:val="00DE635B"/>
    <w:rsid w:val="00DE767D"/>
    <w:rsid w:val="00DE7E0B"/>
    <w:rsid w:val="00DF177B"/>
    <w:rsid w:val="00DF2AA6"/>
    <w:rsid w:val="00DF6A90"/>
    <w:rsid w:val="00DF78B1"/>
    <w:rsid w:val="00E0166B"/>
    <w:rsid w:val="00E030FC"/>
    <w:rsid w:val="00E03BD9"/>
    <w:rsid w:val="00E03D41"/>
    <w:rsid w:val="00E0505D"/>
    <w:rsid w:val="00E061FA"/>
    <w:rsid w:val="00E06908"/>
    <w:rsid w:val="00E06DF9"/>
    <w:rsid w:val="00E12A5A"/>
    <w:rsid w:val="00E12FFD"/>
    <w:rsid w:val="00E132BC"/>
    <w:rsid w:val="00E137F8"/>
    <w:rsid w:val="00E1587D"/>
    <w:rsid w:val="00E15A21"/>
    <w:rsid w:val="00E15AB2"/>
    <w:rsid w:val="00E16BBF"/>
    <w:rsid w:val="00E20AB4"/>
    <w:rsid w:val="00E20C21"/>
    <w:rsid w:val="00E21ABF"/>
    <w:rsid w:val="00E237C2"/>
    <w:rsid w:val="00E258CB"/>
    <w:rsid w:val="00E26F5D"/>
    <w:rsid w:val="00E30AF9"/>
    <w:rsid w:val="00E31023"/>
    <w:rsid w:val="00E31B0B"/>
    <w:rsid w:val="00E329C1"/>
    <w:rsid w:val="00E35AA9"/>
    <w:rsid w:val="00E36979"/>
    <w:rsid w:val="00E40BC2"/>
    <w:rsid w:val="00E414AE"/>
    <w:rsid w:val="00E42B1B"/>
    <w:rsid w:val="00E42EDA"/>
    <w:rsid w:val="00E432E6"/>
    <w:rsid w:val="00E4699E"/>
    <w:rsid w:val="00E61221"/>
    <w:rsid w:val="00E61224"/>
    <w:rsid w:val="00E61A41"/>
    <w:rsid w:val="00E61D1B"/>
    <w:rsid w:val="00E63F08"/>
    <w:rsid w:val="00E65DB2"/>
    <w:rsid w:val="00E66239"/>
    <w:rsid w:val="00E7130B"/>
    <w:rsid w:val="00E74FE3"/>
    <w:rsid w:val="00E76A28"/>
    <w:rsid w:val="00E80500"/>
    <w:rsid w:val="00E80E3B"/>
    <w:rsid w:val="00E82847"/>
    <w:rsid w:val="00E8377F"/>
    <w:rsid w:val="00E84839"/>
    <w:rsid w:val="00E87053"/>
    <w:rsid w:val="00E900A9"/>
    <w:rsid w:val="00E902F3"/>
    <w:rsid w:val="00E912B2"/>
    <w:rsid w:val="00E91C50"/>
    <w:rsid w:val="00E94A83"/>
    <w:rsid w:val="00E94DCD"/>
    <w:rsid w:val="00E95CCB"/>
    <w:rsid w:val="00E95E0C"/>
    <w:rsid w:val="00E96BD7"/>
    <w:rsid w:val="00E96CB4"/>
    <w:rsid w:val="00E96D47"/>
    <w:rsid w:val="00EA0F8B"/>
    <w:rsid w:val="00EA10BC"/>
    <w:rsid w:val="00EA36FE"/>
    <w:rsid w:val="00EA3B79"/>
    <w:rsid w:val="00EA42B6"/>
    <w:rsid w:val="00EA58FF"/>
    <w:rsid w:val="00EA67D7"/>
    <w:rsid w:val="00EB22D9"/>
    <w:rsid w:val="00EB39B8"/>
    <w:rsid w:val="00EC1307"/>
    <w:rsid w:val="00EC1690"/>
    <w:rsid w:val="00EC16A8"/>
    <w:rsid w:val="00EC43D8"/>
    <w:rsid w:val="00EC6179"/>
    <w:rsid w:val="00EC6757"/>
    <w:rsid w:val="00EC6E03"/>
    <w:rsid w:val="00ED526F"/>
    <w:rsid w:val="00ED63A2"/>
    <w:rsid w:val="00ED6A90"/>
    <w:rsid w:val="00EE121D"/>
    <w:rsid w:val="00EE4DEA"/>
    <w:rsid w:val="00EE7871"/>
    <w:rsid w:val="00EE7B73"/>
    <w:rsid w:val="00EF0704"/>
    <w:rsid w:val="00EF7616"/>
    <w:rsid w:val="00F0449D"/>
    <w:rsid w:val="00F04615"/>
    <w:rsid w:val="00F047D3"/>
    <w:rsid w:val="00F067F3"/>
    <w:rsid w:val="00F07F03"/>
    <w:rsid w:val="00F1170F"/>
    <w:rsid w:val="00F2219D"/>
    <w:rsid w:val="00F23038"/>
    <w:rsid w:val="00F23B75"/>
    <w:rsid w:val="00F26511"/>
    <w:rsid w:val="00F312F3"/>
    <w:rsid w:val="00F3187E"/>
    <w:rsid w:val="00F32908"/>
    <w:rsid w:val="00F32E0F"/>
    <w:rsid w:val="00F34356"/>
    <w:rsid w:val="00F345C7"/>
    <w:rsid w:val="00F35EE3"/>
    <w:rsid w:val="00F36684"/>
    <w:rsid w:val="00F41846"/>
    <w:rsid w:val="00F41BF9"/>
    <w:rsid w:val="00F43341"/>
    <w:rsid w:val="00F450CB"/>
    <w:rsid w:val="00F47698"/>
    <w:rsid w:val="00F537C7"/>
    <w:rsid w:val="00F60ECA"/>
    <w:rsid w:val="00F61367"/>
    <w:rsid w:val="00F61A14"/>
    <w:rsid w:val="00F635DC"/>
    <w:rsid w:val="00F65499"/>
    <w:rsid w:val="00F704FD"/>
    <w:rsid w:val="00F7102B"/>
    <w:rsid w:val="00F71A36"/>
    <w:rsid w:val="00F735DB"/>
    <w:rsid w:val="00F7369E"/>
    <w:rsid w:val="00F77134"/>
    <w:rsid w:val="00F7717E"/>
    <w:rsid w:val="00F77B34"/>
    <w:rsid w:val="00F827E0"/>
    <w:rsid w:val="00F832BB"/>
    <w:rsid w:val="00F83E4A"/>
    <w:rsid w:val="00F83F35"/>
    <w:rsid w:val="00F84EE7"/>
    <w:rsid w:val="00F85ED8"/>
    <w:rsid w:val="00F90023"/>
    <w:rsid w:val="00F9108E"/>
    <w:rsid w:val="00F915F0"/>
    <w:rsid w:val="00F92993"/>
    <w:rsid w:val="00F92B60"/>
    <w:rsid w:val="00F937BC"/>
    <w:rsid w:val="00F939F2"/>
    <w:rsid w:val="00F94DEC"/>
    <w:rsid w:val="00F94FAA"/>
    <w:rsid w:val="00F96CD9"/>
    <w:rsid w:val="00F97A99"/>
    <w:rsid w:val="00FA1DC2"/>
    <w:rsid w:val="00FA30A5"/>
    <w:rsid w:val="00FA4368"/>
    <w:rsid w:val="00FA4D78"/>
    <w:rsid w:val="00FA5BDD"/>
    <w:rsid w:val="00FA66C4"/>
    <w:rsid w:val="00FA78D5"/>
    <w:rsid w:val="00FB16C0"/>
    <w:rsid w:val="00FB1E04"/>
    <w:rsid w:val="00FB1E91"/>
    <w:rsid w:val="00FB3F63"/>
    <w:rsid w:val="00FB4156"/>
    <w:rsid w:val="00FB6E7B"/>
    <w:rsid w:val="00FC173E"/>
    <w:rsid w:val="00FC1819"/>
    <w:rsid w:val="00FC3DE0"/>
    <w:rsid w:val="00FC5452"/>
    <w:rsid w:val="00FC6D62"/>
    <w:rsid w:val="00FD3A74"/>
    <w:rsid w:val="00FD3FCB"/>
    <w:rsid w:val="00FD7B74"/>
    <w:rsid w:val="00FE1AEA"/>
    <w:rsid w:val="00FE49E5"/>
    <w:rsid w:val="00FE5612"/>
    <w:rsid w:val="00FE5A12"/>
    <w:rsid w:val="00FE7E7C"/>
    <w:rsid w:val="00FF07B4"/>
    <w:rsid w:val="00FF3BAF"/>
    <w:rsid w:val="00FF49AD"/>
    <w:rsid w:val="00FF6373"/>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E3AB"/>
  <w14:defaultImageDpi w14:val="300"/>
  <w15:docId w15:val="{9DFF8D4C-16AD-4A8E-9E7A-3A3EAF2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885"/>
    <w:pPr>
      <w:suppressAutoHyphens/>
    </w:pPr>
    <w:rPr>
      <w:sz w:val="22"/>
      <w:szCs w:val="22"/>
      <w:lang w:eastAsia="ar-SA"/>
    </w:rPr>
  </w:style>
  <w:style w:type="paragraph" w:styleId="Heading1">
    <w:name w:val="heading 1"/>
    <w:basedOn w:val="Heading2"/>
    <w:next w:val="Normal"/>
    <w:qFormat/>
    <w:rsid w:val="00DD0509"/>
    <w:pPr>
      <w:numPr>
        <w:ilvl w:val="0"/>
      </w:numPr>
      <w:spacing w:line="276" w:lineRule="auto"/>
      <w:outlineLvl w:val="0"/>
    </w:pPr>
    <w:rPr>
      <w:sz w:val="28"/>
      <w:szCs w:val="28"/>
    </w:rPr>
  </w:style>
  <w:style w:type="paragraph" w:styleId="Heading2">
    <w:name w:val="heading 2"/>
    <w:basedOn w:val="Normal"/>
    <w:next w:val="Normal"/>
    <w:qFormat/>
    <w:rsid w:val="00DD0509"/>
    <w:pPr>
      <w:keepNext/>
      <w:numPr>
        <w:ilvl w:val="1"/>
        <w:numId w:val="3"/>
      </w:numPr>
      <w:spacing w:after="240"/>
      <w:outlineLvl w:val="1"/>
    </w:pPr>
    <w:rPr>
      <w:b/>
      <w:bCs/>
      <w:iCs/>
      <w:color w:val="008000"/>
      <w:sz w:val="24"/>
      <w:szCs w:val="24"/>
      <w:lang w:val="en-CA"/>
    </w:rPr>
  </w:style>
  <w:style w:type="paragraph" w:styleId="Heading3">
    <w:name w:val="heading 3"/>
    <w:basedOn w:val="Normal"/>
    <w:next w:val="Normal"/>
    <w:link w:val="Heading3Char"/>
    <w:qFormat/>
    <w:rsid w:val="00DD0509"/>
    <w:pPr>
      <w:keepNext/>
      <w:spacing w:after="240"/>
      <w:outlineLvl w:val="2"/>
    </w:pPr>
    <w:rPr>
      <w:b/>
      <w:bCs/>
      <w:i/>
      <w:color w:val="008000"/>
      <w:sz w:val="24"/>
      <w:szCs w:val="24"/>
      <w:lang w:val="x-none"/>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uiPriority w:val="99"/>
    <w:qFormat/>
    <w:pPr>
      <w:numPr>
        <w:ilvl w:val="6"/>
        <w:numId w:val="2"/>
      </w:numPr>
      <w:spacing w:before="240" w:after="60"/>
      <w:outlineLvl w:val="6"/>
    </w:pPr>
    <w:rPr>
      <w:sz w:val="24"/>
      <w:szCs w:val="24"/>
    </w:rPr>
  </w:style>
  <w:style w:type="paragraph" w:styleId="Heading8">
    <w:name w:val="heading 8"/>
    <w:basedOn w:val="Normal"/>
    <w:next w:val="Normal"/>
    <w:uiPriority w:val="99"/>
    <w:qFormat/>
    <w:pPr>
      <w:keepNext/>
      <w:numPr>
        <w:ilvl w:val="7"/>
        <w:numId w:val="2"/>
      </w:numPr>
      <w:outlineLvl w:val="7"/>
    </w:pPr>
    <w:rPr>
      <w:b/>
      <w:bCs/>
      <w:color w:val="FFFFFF"/>
    </w:rPr>
  </w:style>
  <w:style w:type="paragraph" w:styleId="Heading9">
    <w:name w:val="heading 9"/>
    <w:basedOn w:val="Normal"/>
    <w:next w:val="Normal"/>
    <w:uiPriority w:val="99"/>
    <w:qFormat/>
    <w:pPr>
      <w:keepNext/>
      <w:numPr>
        <w:ilvl w:val="8"/>
        <w:numId w:val="2"/>
      </w:numPr>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olor w:val="80808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color w:val="80808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hAnsi="Arial"/>
      <w:color w:val="808080"/>
      <w:sz w:val="22"/>
    </w:rPr>
  </w:style>
  <w:style w:type="character" w:customStyle="1" w:styleId="WW8Num4z0">
    <w:name w:val="WW8Num4z0"/>
    <w:rPr>
      <w:rFonts w:ascii="Wingdings" w:hAnsi="Wingdings"/>
      <w:color w:val="80808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color w:val="80808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80808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color w:val="808080"/>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808080"/>
    </w:rPr>
  </w:style>
  <w:style w:type="character" w:customStyle="1" w:styleId="WW8Num8z1">
    <w:name w:val="WW8Num8z1"/>
    <w:rPr>
      <w:rFonts w:ascii="Wingdings" w:eastAsia="Arial Unicode MS" w:hAnsi="Wingdings" w:cs="Arial Unicode MS"/>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0">
    <w:name w:val="WW8Num9z0"/>
    <w:rPr>
      <w:rFonts w:ascii="Wingdings" w:hAnsi="Wingdings"/>
      <w:color w:val="80808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color w:val="80808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olor w:val="80808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sz w:val="16"/>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Wingdings" w:hAnsi="Wingdings"/>
      <w:color w:val="808080"/>
    </w:rPr>
  </w:style>
  <w:style w:type="character" w:customStyle="1" w:styleId="WW8Num13z2">
    <w:name w:val="WW8Num13z2"/>
    <w:rPr>
      <w:rFonts w:ascii="Arial" w:hAnsi="Arial"/>
      <w:color w:val="808080"/>
      <w:sz w:val="22"/>
    </w:rPr>
  </w:style>
  <w:style w:type="character" w:customStyle="1" w:styleId="WW8Num13z3">
    <w:name w:val="WW8Num13z3"/>
    <w:rPr>
      <w:rFonts w:ascii="Arial" w:eastAsia="Times New Roman" w:hAnsi="Arial" w:cs="Arial"/>
      <w:sz w:val="20"/>
    </w:rPr>
  </w:style>
  <w:style w:type="character" w:customStyle="1" w:styleId="WW8Num14z0">
    <w:name w:val="WW8Num14z0"/>
    <w:rPr>
      <w:rFonts w:ascii="Arial" w:hAnsi="Arial"/>
      <w:color w:val="808080"/>
      <w:sz w:val="22"/>
    </w:rPr>
  </w:style>
  <w:style w:type="character" w:customStyle="1" w:styleId="WW8Num16z0">
    <w:name w:val="WW8Num16z0"/>
    <w:rPr>
      <w:rFonts w:ascii="Wingdings" w:hAnsi="Wingdings"/>
      <w:color w:val="808080"/>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customStyle="1" w:styleId="Heading2Char">
    <w:name w:val="Heading 2 Char"/>
    <w:rPr>
      <w:rFonts w:ascii="Arial" w:hAnsi="Arial" w:cs="Arial"/>
      <w:b/>
      <w:bCs/>
      <w:i/>
      <w:iCs/>
      <w:color w:val="808080"/>
      <w:sz w:val="24"/>
      <w:szCs w:val="24"/>
      <w:lang w:val="en-CA" w:eastAsia="ar-SA" w:bidi="ar-SA"/>
    </w:rPr>
  </w:style>
  <w:style w:type="character" w:styleId="Hyperlink">
    <w:name w:val="Hyperlink"/>
    <w:uiPriority w:val="99"/>
    <w:rPr>
      <w:color w:val="0000FF"/>
      <w:sz w:val="20"/>
      <w:u w:val="single"/>
    </w:rPr>
  </w:style>
  <w:style w:type="character" w:customStyle="1" w:styleId="FootnoteCharacters">
    <w:name w:val="Footnote Characters"/>
    <w:rPr>
      <w:vertAlign w:val="superscript"/>
    </w:rPr>
  </w:style>
  <w:style w:type="character" w:customStyle="1" w:styleId="Heading1Char">
    <w:name w:val="Heading 1 Char"/>
    <w:rPr>
      <w:rFonts w:ascii="Arial" w:hAnsi="Arial" w:cs="Arial"/>
      <w:b/>
      <w:bCs/>
      <w:color w:val="333399"/>
      <w:kern w:val="1"/>
      <w:sz w:val="28"/>
      <w:szCs w:val="28"/>
      <w:lang w:val="en-US" w:eastAsia="ar-SA" w:bidi="ar-SA"/>
    </w:rPr>
  </w:style>
  <w:style w:type="character" w:customStyle="1" w:styleId="BodyLevel1CharChar">
    <w:name w:val="Body Level 1 Char Char"/>
    <w:rPr>
      <w:rFonts w:ascii="Arial" w:hAnsi="Arial"/>
      <w:sz w:val="22"/>
      <w:lang w:val="en-US" w:eastAsia="ar-SA" w:bidi="ar-SA"/>
    </w:rPr>
  </w:style>
  <w:style w:type="character" w:styleId="Emphasis">
    <w:name w:val="Emphasis"/>
    <w:qFormat/>
    <w:rPr>
      <w:i/>
      <w:iCs/>
    </w:rPr>
  </w:style>
  <w:style w:type="character" w:styleId="Strong">
    <w:name w:val="Strong"/>
    <w:uiPriority w:val="22"/>
    <w:qFormat/>
    <w:rPr>
      <w:b/>
      <w:bCs/>
    </w:rPr>
  </w:style>
  <w:style w:type="character" w:customStyle="1" w:styleId="navy1">
    <w:name w:val="navy1"/>
    <w:rPr>
      <w:color w:val="000080"/>
    </w:rPr>
  </w:style>
  <w:style w:type="character" w:styleId="FollowedHyperlink">
    <w:name w:val="FollowedHyperlink"/>
    <w:rPr>
      <w:color w:val="800080"/>
      <w:u w:val="single"/>
    </w:rPr>
  </w:style>
  <w:style w:type="character" w:customStyle="1" w:styleId="emailstyle24">
    <w:name w:val="emailstyle24"/>
    <w:rPr>
      <w:rFonts w:ascii="Tahoma" w:hAnsi="Tahoma" w:cs="Wingdings"/>
      <w:b w:val="0"/>
      <w:bCs w:val="0"/>
      <w:i w:val="0"/>
      <w:iCs w:val="0"/>
      <w:strike w:val="0"/>
      <w:dstrike w:val="0"/>
      <w:color w:val="800000"/>
      <w:sz w:val="20"/>
      <w:szCs w:val="20"/>
      <w:u w:val="none"/>
    </w:rPr>
  </w:style>
  <w:style w:type="character" w:customStyle="1" w:styleId="AnnuskaPerkins">
    <w:name w:val="Annuska Perkins"/>
    <w:rPr>
      <w:rFonts w:ascii="Tahoma" w:hAnsi="Tahoma"/>
      <w:b w:val="0"/>
      <w:bCs w:val="0"/>
      <w:i w:val="0"/>
      <w:iCs w:val="0"/>
      <w:strike w:val="0"/>
      <w:dstrike w:val="0"/>
      <w:color w:val="800000"/>
      <w:sz w:val="20"/>
      <w:szCs w:val="20"/>
      <w:u w:val="none"/>
    </w:rPr>
  </w:style>
  <w:style w:type="character" w:customStyle="1" w:styleId="WW-HTMLTypewriter">
    <w:name w:val="WW-HTML Typewriter"/>
    <w:rPr>
      <w:rFonts w:ascii="Arial Unicode MS" w:eastAsia="Arial Unicode MS" w:hAnsi="Arial Unicode MS" w:cs="Arial Unicode MS"/>
      <w:sz w:val="20"/>
      <w:szCs w:val="20"/>
    </w:rPr>
  </w:style>
  <w:style w:type="character" w:customStyle="1" w:styleId="WW-CommentReference">
    <w:name w:val="WW-Comment Reference"/>
    <w:rPr>
      <w:sz w:val="16"/>
      <w:szCs w:val="16"/>
    </w:rPr>
  </w:style>
  <w:style w:type="paragraph" w:styleId="BodyText">
    <w:name w:val="Body Text"/>
    <w:basedOn w:val="Normal"/>
    <w:pPr>
      <w:spacing w:after="240" w:line="240" w:lineRule="atLeast"/>
      <w:ind w:left="1080"/>
      <w:jc w:val="both"/>
    </w:pPr>
    <w:rPr>
      <w:spacing w:val="-5"/>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TOC1">
    <w:name w:val="toc 1"/>
    <w:basedOn w:val="Normal"/>
    <w:next w:val="Normal"/>
    <w:uiPriority w:val="39"/>
    <w:pPr>
      <w:spacing w:before="120"/>
    </w:pPr>
    <w:rPr>
      <w:rFonts w:ascii="Cambria" w:hAnsi="Cambria"/>
      <w:b/>
      <w:sz w:val="24"/>
      <w:szCs w:val="24"/>
    </w:rPr>
  </w:style>
  <w:style w:type="paragraph" w:styleId="TOC2">
    <w:name w:val="toc 2"/>
    <w:basedOn w:val="Normal"/>
    <w:next w:val="Normal"/>
    <w:uiPriority w:val="39"/>
    <w:pPr>
      <w:ind w:left="220"/>
    </w:pPr>
    <w:rPr>
      <w:rFonts w:ascii="Cambria" w:hAnsi="Cambria"/>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FootnoteText">
    <w:name w:val="footnote text"/>
    <w:basedOn w:val="Normal"/>
    <w:semiHidden/>
    <w:pPr>
      <w:keepLines/>
      <w:spacing w:line="200" w:lineRule="atLeast"/>
      <w:ind w:left="1080"/>
    </w:pPr>
    <w:rPr>
      <w:spacing w:val="-5"/>
      <w:sz w:val="16"/>
      <w:szCs w:val="20"/>
    </w:rPr>
  </w:style>
  <w:style w:type="paragraph" w:customStyle="1" w:styleId="WW-BodyText3">
    <w:name w:val="WW-Body Text 3"/>
    <w:basedOn w:val="Normal"/>
    <w:pPr>
      <w:spacing w:after="120"/>
    </w:pPr>
    <w:rPr>
      <w:sz w:val="16"/>
      <w:szCs w:val="16"/>
    </w:rPr>
  </w:style>
  <w:style w:type="paragraph" w:customStyle="1" w:styleId="DefinitionList">
    <w:name w:val="Definition List"/>
    <w:basedOn w:val="Normal"/>
    <w:next w:val="Normal"/>
    <w:pPr>
      <w:ind w:left="360"/>
    </w:pPr>
    <w:rPr>
      <w:sz w:val="24"/>
      <w:szCs w:val="24"/>
    </w:rPr>
  </w:style>
  <w:style w:type="paragraph" w:customStyle="1" w:styleId="WW-NormalWeb">
    <w:name w:val="WW-Normal (Web)"/>
    <w:basedOn w:val="Normal"/>
    <w:pPr>
      <w:spacing w:before="280" w:after="280"/>
    </w:pPr>
    <w:rPr>
      <w:sz w:val="24"/>
      <w:szCs w:val="24"/>
    </w:rPr>
  </w:style>
  <w:style w:type="paragraph" w:customStyle="1" w:styleId="BulletSquare">
    <w:name w:val="Bullet Square"/>
    <w:basedOn w:val="Normal"/>
    <w:pPr>
      <w:numPr>
        <w:numId w:val="1"/>
      </w:numPr>
      <w:spacing w:after="120"/>
      <w:ind w:left="0" w:firstLine="0"/>
    </w:pPr>
    <w:rPr>
      <w:szCs w:val="20"/>
    </w:rPr>
  </w:style>
  <w:style w:type="paragraph" w:customStyle="1" w:styleId="BodyLevel1CharChar1Char">
    <w:name w:val="Body Level 1 Char Char1 Char"/>
    <w:basedOn w:val="Normal"/>
    <w:pPr>
      <w:keepLines/>
      <w:spacing w:after="120" w:line="260" w:lineRule="exact"/>
      <w:ind w:left="576"/>
    </w:pPr>
    <w:rPr>
      <w:szCs w:val="20"/>
    </w:rPr>
  </w:style>
  <w:style w:type="paragraph" w:customStyle="1" w:styleId="BodyLevel2">
    <w:name w:val="Body Level 2"/>
    <w:basedOn w:val="BodyLevel1CharChar1Char"/>
    <w:pPr>
      <w:ind w:left="1296"/>
    </w:pPr>
  </w:style>
  <w:style w:type="paragraph" w:styleId="Index1">
    <w:name w:val="index 1"/>
    <w:basedOn w:val="Normal"/>
    <w:next w:val="Normal"/>
    <w:semiHidden/>
    <w:pPr>
      <w:ind w:left="220" w:hanging="220"/>
    </w:pPr>
  </w:style>
  <w:style w:type="paragraph" w:styleId="IndexHeading">
    <w:name w:val="index heading"/>
    <w:basedOn w:val="Normal"/>
    <w:next w:val="Index1"/>
    <w:semiHidden/>
    <w:pPr>
      <w:keepNext/>
      <w:spacing w:line="480" w:lineRule="atLeast"/>
    </w:pPr>
    <w:rPr>
      <w:rFonts w:ascii="Arial Black" w:hAnsi="Arial Black"/>
      <w:spacing w:val="-5"/>
      <w:sz w:val="24"/>
    </w:rPr>
  </w:style>
  <w:style w:type="paragraph" w:customStyle="1" w:styleId="HTMLBody">
    <w:name w:val="HTML Body"/>
    <w:pPr>
      <w:suppressAutoHyphens/>
      <w:autoSpaceDE w:val="0"/>
    </w:pPr>
    <w:rPr>
      <w:rFonts w:ascii="Arial" w:hAnsi="Arial"/>
      <w:lang w:eastAsia="ar-SA"/>
    </w:rPr>
  </w:style>
  <w:style w:type="paragraph" w:styleId="Title">
    <w:name w:val="Title"/>
    <w:basedOn w:val="Normal"/>
    <w:next w:val="Subtitle"/>
    <w:qFormat/>
    <w:pPr>
      <w:tabs>
        <w:tab w:val="left" w:pos="5220"/>
      </w:tabs>
      <w:jc w:val="center"/>
    </w:pPr>
    <w:rPr>
      <w:b/>
      <w:i/>
      <w:sz w:val="20"/>
      <w:szCs w:val="20"/>
    </w:rPr>
  </w:style>
  <w:style w:type="paragraph" w:styleId="Subtitle">
    <w:name w:val="Subtitle"/>
    <w:basedOn w:val="Normal"/>
    <w:next w:val="BodyText"/>
    <w:qFormat/>
    <w:pPr>
      <w:ind w:left="720"/>
      <w:jc w:val="center"/>
    </w:pPr>
    <w:rPr>
      <w:b/>
      <w:bCs/>
      <w:sz w:val="32"/>
      <w:szCs w:val="24"/>
    </w:rPr>
  </w:style>
  <w:style w:type="paragraph" w:styleId="TOC3">
    <w:name w:val="toc 3"/>
    <w:basedOn w:val="Normal"/>
    <w:next w:val="Normal"/>
    <w:uiPriority w:val="39"/>
    <w:pPr>
      <w:ind w:left="440"/>
    </w:pPr>
    <w:rPr>
      <w:rFonts w:ascii="Cambria" w:hAnsi="Cambria"/>
    </w:rPr>
  </w:style>
  <w:style w:type="paragraph" w:styleId="TOC4">
    <w:name w:val="toc 4"/>
    <w:basedOn w:val="Normal"/>
    <w:next w:val="Normal"/>
    <w:semiHidden/>
    <w:pPr>
      <w:ind w:left="660"/>
    </w:pPr>
    <w:rPr>
      <w:rFonts w:ascii="Cambria" w:hAnsi="Cambria"/>
      <w:sz w:val="20"/>
      <w:szCs w:val="20"/>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ahoma"/>
      <w:color w:val="14254B"/>
      <w:sz w:val="18"/>
      <w:szCs w:val="18"/>
    </w:rPr>
  </w:style>
  <w:style w:type="paragraph" w:styleId="TOC5">
    <w:name w:val="toc 5"/>
    <w:basedOn w:val="Normal"/>
    <w:next w:val="Normal"/>
    <w:semiHidden/>
    <w:pPr>
      <w:ind w:left="880"/>
    </w:pPr>
    <w:rPr>
      <w:rFonts w:ascii="Cambria" w:hAnsi="Cambria"/>
      <w:sz w:val="20"/>
      <w:szCs w:val="20"/>
    </w:rPr>
  </w:style>
  <w:style w:type="paragraph" w:styleId="TOC6">
    <w:name w:val="toc 6"/>
    <w:basedOn w:val="Normal"/>
    <w:next w:val="Normal"/>
    <w:semiHidden/>
    <w:pPr>
      <w:ind w:left="1100"/>
    </w:pPr>
    <w:rPr>
      <w:rFonts w:ascii="Cambria" w:hAnsi="Cambria"/>
      <w:sz w:val="20"/>
      <w:szCs w:val="20"/>
    </w:rPr>
  </w:style>
  <w:style w:type="paragraph" w:styleId="TOC7">
    <w:name w:val="toc 7"/>
    <w:basedOn w:val="Normal"/>
    <w:next w:val="Normal"/>
    <w:semiHidden/>
    <w:pPr>
      <w:ind w:left="1320"/>
    </w:pPr>
    <w:rPr>
      <w:rFonts w:ascii="Cambria" w:hAnsi="Cambria"/>
      <w:sz w:val="20"/>
      <w:szCs w:val="20"/>
    </w:rPr>
  </w:style>
  <w:style w:type="paragraph" w:styleId="TOC8">
    <w:name w:val="toc 8"/>
    <w:basedOn w:val="Normal"/>
    <w:next w:val="Normal"/>
    <w:semiHidden/>
    <w:pPr>
      <w:ind w:left="1540"/>
    </w:pPr>
    <w:rPr>
      <w:rFonts w:ascii="Cambria" w:hAnsi="Cambria"/>
      <w:sz w:val="20"/>
      <w:szCs w:val="20"/>
    </w:rPr>
  </w:style>
  <w:style w:type="paragraph" w:styleId="TOC9">
    <w:name w:val="toc 9"/>
    <w:basedOn w:val="Normal"/>
    <w:next w:val="Normal"/>
    <w:semiHidden/>
    <w:pPr>
      <w:ind w:left="1760"/>
    </w:pPr>
    <w:rPr>
      <w:rFonts w:ascii="Cambria" w:hAnsi="Cambria"/>
      <w:sz w:val="20"/>
      <w:szCs w:val="20"/>
    </w:rPr>
  </w:style>
  <w:style w:type="paragraph" w:customStyle="1" w:styleId="WW-BodyText2">
    <w:name w:val="WW-Body Text 2"/>
    <w:basedOn w:val="Normal"/>
    <w:pPr>
      <w:spacing w:after="120"/>
    </w:pPr>
    <w:rPr>
      <w:color w:val="FF0000"/>
    </w:rPr>
  </w:style>
  <w:style w:type="paragraph" w:customStyle="1" w:styleId="WW-BalloonText">
    <w:name w:val="WW-Balloon Text"/>
    <w:basedOn w:val="Normal"/>
    <w:rPr>
      <w:rFonts w:ascii="Tahoma" w:hAnsi="Tahoma" w:cs="Wingdings"/>
      <w:sz w:val="16"/>
      <w:szCs w:val="16"/>
    </w:rPr>
  </w:style>
  <w:style w:type="paragraph" w:styleId="BodyTextIndent">
    <w:name w:val="Body Text Indent"/>
    <w:basedOn w:val="Normal"/>
    <w:pPr>
      <w:spacing w:before="240" w:after="120"/>
      <w:ind w:left="360"/>
    </w:pPr>
  </w:style>
  <w:style w:type="paragraph" w:customStyle="1" w:styleId="WW-Caption">
    <w:name w:val="WW-Caption"/>
    <w:basedOn w:val="Normal"/>
    <w:next w:val="Normal"/>
    <w:rPr>
      <w:i/>
      <w:iCs/>
      <w:color w:val="808080"/>
      <w:sz w:val="18"/>
    </w:rPr>
  </w:style>
  <w:style w:type="paragraph" w:customStyle="1" w:styleId="WW-BodyTextIndent2">
    <w:name w:val="WW-Body Text Indent 2"/>
    <w:basedOn w:val="Normal"/>
    <w:pPr>
      <w:spacing w:after="120"/>
      <w:ind w:left="720"/>
    </w:pPr>
  </w:style>
  <w:style w:type="paragraph" w:customStyle="1" w:styleId="WW-CommentText">
    <w:name w:val="WW-Comment Text"/>
    <w:basedOn w:val="Normal"/>
    <w:rPr>
      <w:sz w:val="20"/>
      <w:szCs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BalloonText">
    <w:name w:val="Balloon Text"/>
    <w:basedOn w:val="Normal"/>
    <w:semiHidden/>
    <w:rsid w:val="007562F3"/>
    <w:rPr>
      <w:rFonts w:ascii="Tahoma" w:hAnsi="Tahoma" w:cs="Tahoma"/>
      <w:sz w:val="16"/>
      <w:szCs w:val="16"/>
    </w:rPr>
  </w:style>
  <w:style w:type="character" w:customStyle="1" w:styleId="checkpoint">
    <w:name w:val="checkpoint"/>
    <w:rsid w:val="00884C9C"/>
    <w:rPr>
      <w:b/>
      <w:bCs/>
    </w:rPr>
  </w:style>
  <w:style w:type="character" w:customStyle="1" w:styleId="priority2">
    <w:name w:val="priority2"/>
    <w:basedOn w:val="DefaultParagraphFont"/>
    <w:rsid w:val="00884C9C"/>
  </w:style>
  <w:style w:type="character" w:customStyle="1" w:styleId="dfn-instance1">
    <w:name w:val="dfn-instance1"/>
    <w:rsid w:val="00884C9C"/>
    <w:rPr>
      <w:i/>
      <w:iCs/>
      <w:color w:val="00513D"/>
    </w:rPr>
  </w:style>
  <w:style w:type="character" w:customStyle="1" w:styleId="priority11">
    <w:name w:val="priority11"/>
    <w:rsid w:val="00884C9C"/>
    <w:rPr>
      <w:color w:val="FF0000"/>
      <w:shd w:val="clear" w:color="auto" w:fill="FFFFFF"/>
    </w:rPr>
  </w:style>
  <w:style w:type="character" w:styleId="FootnoteReference">
    <w:name w:val="footnote reference"/>
    <w:semiHidden/>
    <w:rsid w:val="00F34356"/>
    <w:rPr>
      <w:vertAlign w:val="superscript"/>
    </w:rPr>
  </w:style>
  <w:style w:type="paragraph" w:styleId="BodyText2">
    <w:name w:val="Body Text 2"/>
    <w:basedOn w:val="Normal"/>
    <w:rsid w:val="001E0E67"/>
    <w:pPr>
      <w:spacing w:after="120" w:line="480" w:lineRule="auto"/>
    </w:pPr>
  </w:style>
  <w:style w:type="character" w:styleId="HTMLTypewriter">
    <w:name w:val="HTML Typewriter"/>
    <w:rsid w:val="001E0E67"/>
    <w:rPr>
      <w:rFonts w:ascii="Arial Unicode MS" w:eastAsia="Arial Unicode MS" w:hAnsi="Arial Unicode MS" w:cs="Arial Unicode MS"/>
      <w:sz w:val="20"/>
      <w:szCs w:val="20"/>
    </w:rPr>
  </w:style>
  <w:style w:type="character" w:customStyle="1" w:styleId="bread">
    <w:name w:val="bread"/>
    <w:basedOn w:val="DefaultParagraphFont"/>
    <w:rsid w:val="00023E58"/>
  </w:style>
  <w:style w:type="paragraph" w:styleId="NormalWeb">
    <w:name w:val="Normal (Web)"/>
    <w:basedOn w:val="Normal"/>
    <w:uiPriority w:val="99"/>
    <w:rsid w:val="001E6FBB"/>
    <w:pPr>
      <w:suppressAutoHyphens w:val="0"/>
      <w:spacing w:before="100" w:beforeAutospacing="1" w:after="100" w:afterAutospacing="1"/>
    </w:pPr>
    <w:rPr>
      <w:sz w:val="24"/>
      <w:szCs w:val="24"/>
      <w:lang w:eastAsia="en-US"/>
    </w:rPr>
  </w:style>
  <w:style w:type="paragraph" w:customStyle="1" w:styleId="basictext">
    <w:name w:val="basictext"/>
    <w:basedOn w:val="Normal"/>
    <w:uiPriority w:val="99"/>
    <w:rsid w:val="001355EA"/>
    <w:pPr>
      <w:suppressAutoHyphens w:val="0"/>
      <w:spacing w:before="100" w:beforeAutospacing="1" w:after="100" w:afterAutospacing="1"/>
    </w:pPr>
    <w:rPr>
      <w:rFonts w:ascii="Verdana" w:hAnsi="Verdana"/>
      <w:sz w:val="13"/>
      <w:szCs w:val="13"/>
      <w:lang w:eastAsia="en-US"/>
    </w:rPr>
  </w:style>
  <w:style w:type="paragraph" w:styleId="ListBullet">
    <w:name w:val="List Bullet"/>
    <w:basedOn w:val="Normal"/>
    <w:autoRedefine/>
    <w:semiHidden/>
    <w:rsid w:val="00A65EAE"/>
    <w:pPr>
      <w:tabs>
        <w:tab w:val="num" w:pos="3240"/>
      </w:tabs>
      <w:suppressAutoHyphens w:val="0"/>
      <w:spacing w:after="120"/>
      <w:ind w:left="3240" w:hanging="1080"/>
    </w:pPr>
    <w:rPr>
      <w:szCs w:val="24"/>
      <w:lang w:eastAsia="en-US"/>
    </w:rPr>
  </w:style>
  <w:style w:type="paragraph" w:styleId="Caption">
    <w:name w:val="caption"/>
    <w:basedOn w:val="Normal"/>
    <w:next w:val="Normal"/>
    <w:qFormat/>
    <w:rsid w:val="00A65EAE"/>
    <w:pPr>
      <w:suppressAutoHyphens w:val="0"/>
      <w:spacing w:after="120"/>
    </w:pPr>
    <w:rPr>
      <w:b/>
      <w:bCs/>
      <w:sz w:val="20"/>
      <w:szCs w:val="20"/>
      <w:lang w:eastAsia="en-US"/>
    </w:rPr>
  </w:style>
  <w:style w:type="paragraph" w:customStyle="1" w:styleId="ColorfulList-Accent11">
    <w:name w:val="Colorful List - Accent 11"/>
    <w:basedOn w:val="Normal"/>
    <w:uiPriority w:val="34"/>
    <w:qFormat/>
    <w:rsid w:val="008A1949"/>
    <w:pPr>
      <w:suppressAutoHyphens w:val="0"/>
      <w:spacing w:after="200" w:line="276" w:lineRule="auto"/>
      <w:ind w:left="720"/>
      <w:contextualSpacing/>
    </w:pPr>
    <w:rPr>
      <w:rFonts w:ascii="Calibri" w:eastAsia="Calibri" w:hAnsi="Calibri"/>
      <w:lang w:eastAsia="en-US"/>
    </w:rPr>
  </w:style>
  <w:style w:type="paragraph" w:customStyle="1" w:styleId="MediumGrid22">
    <w:name w:val="Medium Grid 22"/>
    <w:uiPriority w:val="1"/>
    <w:qFormat/>
    <w:rsid w:val="00812199"/>
    <w:rPr>
      <w:rFonts w:ascii="Calibri" w:eastAsia="Calibri" w:hAnsi="Calibri"/>
      <w:sz w:val="22"/>
      <w:szCs w:val="22"/>
    </w:rPr>
  </w:style>
  <w:style w:type="paragraph" w:customStyle="1" w:styleId="sctxt">
    <w:name w:val="sctxt"/>
    <w:basedOn w:val="Normal"/>
    <w:rsid w:val="00812199"/>
    <w:pPr>
      <w:suppressAutoHyphens w:val="0"/>
      <w:spacing w:before="100" w:beforeAutospacing="1" w:after="100" w:afterAutospacing="1"/>
    </w:pPr>
    <w:rPr>
      <w:sz w:val="24"/>
      <w:szCs w:val="24"/>
      <w:lang w:eastAsia="en-US"/>
    </w:rPr>
  </w:style>
  <w:style w:type="paragraph" w:customStyle="1" w:styleId="TOCHeading2">
    <w:name w:val="TOC Heading2"/>
    <w:basedOn w:val="Heading1"/>
    <w:next w:val="Normal"/>
    <w:uiPriority w:val="39"/>
    <w:qFormat/>
    <w:rsid w:val="00B97E32"/>
    <w:pPr>
      <w:keepLines/>
      <w:numPr>
        <w:numId w:val="0"/>
      </w:numPr>
      <w:suppressAutoHyphens w:val="0"/>
      <w:spacing w:before="480" w:after="0"/>
      <w:outlineLvl w:val="9"/>
    </w:pPr>
    <w:rPr>
      <w:rFonts w:ascii="Cambria" w:hAnsi="Cambria"/>
      <w:caps/>
      <w:color w:val="365F91"/>
      <w:lang w:eastAsia="en-US"/>
    </w:rPr>
  </w:style>
  <w:style w:type="table" w:styleId="TableGrid">
    <w:name w:val="Table Grid"/>
    <w:basedOn w:val="TableNormal"/>
    <w:uiPriority w:val="59"/>
    <w:rsid w:val="00421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24CEF"/>
    <w:rPr>
      <w:sz w:val="16"/>
      <w:szCs w:val="16"/>
    </w:rPr>
  </w:style>
  <w:style w:type="paragraph" w:styleId="CommentText">
    <w:name w:val="annotation text"/>
    <w:basedOn w:val="Normal"/>
    <w:link w:val="CommentTextChar"/>
    <w:uiPriority w:val="99"/>
    <w:semiHidden/>
    <w:rsid w:val="00624CEF"/>
    <w:rPr>
      <w:sz w:val="20"/>
      <w:szCs w:val="20"/>
      <w:lang w:val="x-none"/>
    </w:rPr>
  </w:style>
  <w:style w:type="paragraph" w:styleId="CommentSubject">
    <w:name w:val="annotation subject"/>
    <w:basedOn w:val="CommentText"/>
    <w:next w:val="CommentText"/>
    <w:semiHidden/>
    <w:rsid w:val="00624CEF"/>
    <w:rPr>
      <w:b/>
      <w:bCs/>
    </w:rPr>
  </w:style>
  <w:style w:type="paragraph" w:customStyle="1" w:styleId="TOCHeading1">
    <w:name w:val="TOC Heading1"/>
    <w:basedOn w:val="Heading1"/>
    <w:next w:val="Normal"/>
    <w:uiPriority w:val="39"/>
    <w:qFormat/>
    <w:rsid w:val="0028075C"/>
    <w:pPr>
      <w:keepLines/>
      <w:numPr>
        <w:numId w:val="0"/>
      </w:numPr>
      <w:suppressAutoHyphens w:val="0"/>
      <w:spacing w:before="480" w:after="0"/>
      <w:outlineLvl w:val="9"/>
    </w:pPr>
    <w:rPr>
      <w:rFonts w:ascii="Cambria" w:hAnsi="Cambria"/>
      <w:caps/>
      <w:color w:val="365F91"/>
      <w:lang w:eastAsia="en-US"/>
    </w:rPr>
  </w:style>
  <w:style w:type="character" w:customStyle="1" w:styleId="FooterChar">
    <w:name w:val="Footer Char"/>
    <w:link w:val="Footer"/>
    <w:uiPriority w:val="99"/>
    <w:rsid w:val="00D435AD"/>
    <w:rPr>
      <w:sz w:val="22"/>
      <w:szCs w:val="22"/>
      <w:lang w:eastAsia="ar-SA"/>
    </w:rPr>
  </w:style>
  <w:style w:type="character" w:customStyle="1" w:styleId="Heading3Char">
    <w:name w:val="Heading 3 Char"/>
    <w:link w:val="Heading3"/>
    <w:rsid w:val="00DD0509"/>
    <w:rPr>
      <w:rFonts w:cs="Arial"/>
      <w:b/>
      <w:bCs/>
      <w:i/>
      <w:color w:val="008000"/>
      <w:sz w:val="24"/>
      <w:szCs w:val="24"/>
      <w:lang w:eastAsia="ar-SA"/>
    </w:rPr>
  </w:style>
  <w:style w:type="character" w:customStyle="1" w:styleId="CommentTextChar">
    <w:name w:val="Comment Text Char"/>
    <w:link w:val="CommentText"/>
    <w:uiPriority w:val="99"/>
    <w:semiHidden/>
    <w:rsid w:val="00BB5BAF"/>
    <w:rPr>
      <w:lang w:eastAsia="ar-SA"/>
    </w:rPr>
  </w:style>
  <w:style w:type="paragraph" w:customStyle="1" w:styleId="MediumGrid21">
    <w:name w:val="Medium Grid 21"/>
    <w:uiPriority w:val="1"/>
    <w:qFormat/>
    <w:rsid w:val="00BB5BAF"/>
    <w:rPr>
      <w:rFonts w:ascii="Calibri" w:eastAsia="Calibri" w:hAnsi="Calibri"/>
      <w:sz w:val="22"/>
      <w:szCs w:val="22"/>
    </w:rPr>
  </w:style>
  <w:style w:type="paragraph" w:customStyle="1" w:styleId="MediumGrid1-Accent21">
    <w:name w:val="Medium Grid 1 - Accent 21"/>
    <w:basedOn w:val="Normal"/>
    <w:uiPriority w:val="34"/>
    <w:qFormat/>
    <w:rsid w:val="00B13DF0"/>
    <w:pPr>
      <w:suppressAutoHyphens w:val="0"/>
      <w:spacing w:after="200" w:line="276" w:lineRule="auto"/>
      <w:ind w:left="720"/>
      <w:contextualSpacing/>
    </w:pPr>
    <w:rPr>
      <w:rFonts w:ascii="Arial" w:eastAsia="Calibri"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91">
      <w:bodyDiv w:val="1"/>
      <w:marLeft w:val="0"/>
      <w:marRight w:val="0"/>
      <w:marTop w:val="0"/>
      <w:marBottom w:val="0"/>
      <w:divBdr>
        <w:top w:val="none" w:sz="0" w:space="0" w:color="auto"/>
        <w:left w:val="none" w:sz="0" w:space="0" w:color="auto"/>
        <w:bottom w:val="none" w:sz="0" w:space="0" w:color="auto"/>
        <w:right w:val="none" w:sz="0" w:space="0" w:color="auto"/>
      </w:divBdr>
    </w:div>
    <w:div w:id="65609186">
      <w:bodyDiv w:val="1"/>
      <w:marLeft w:val="0"/>
      <w:marRight w:val="0"/>
      <w:marTop w:val="0"/>
      <w:marBottom w:val="0"/>
      <w:divBdr>
        <w:top w:val="none" w:sz="0" w:space="0" w:color="auto"/>
        <w:left w:val="none" w:sz="0" w:space="0" w:color="auto"/>
        <w:bottom w:val="none" w:sz="0" w:space="0" w:color="auto"/>
        <w:right w:val="none" w:sz="0" w:space="0" w:color="auto"/>
      </w:divBdr>
    </w:div>
    <w:div w:id="79258978">
      <w:bodyDiv w:val="1"/>
      <w:marLeft w:val="0"/>
      <w:marRight w:val="0"/>
      <w:marTop w:val="0"/>
      <w:marBottom w:val="0"/>
      <w:divBdr>
        <w:top w:val="none" w:sz="0" w:space="0" w:color="auto"/>
        <w:left w:val="none" w:sz="0" w:space="0" w:color="auto"/>
        <w:bottom w:val="none" w:sz="0" w:space="0" w:color="auto"/>
        <w:right w:val="none" w:sz="0" w:space="0" w:color="auto"/>
      </w:divBdr>
    </w:div>
    <w:div w:id="91246929">
      <w:bodyDiv w:val="1"/>
      <w:marLeft w:val="0"/>
      <w:marRight w:val="0"/>
      <w:marTop w:val="0"/>
      <w:marBottom w:val="0"/>
      <w:divBdr>
        <w:top w:val="none" w:sz="0" w:space="0" w:color="auto"/>
        <w:left w:val="none" w:sz="0" w:space="0" w:color="auto"/>
        <w:bottom w:val="none" w:sz="0" w:space="0" w:color="auto"/>
        <w:right w:val="none" w:sz="0" w:space="0" w:color="auto"/>
      </w:divBdr>
    </w:div>
    <w:div w:id="121197267">
      <w:bodyDiv w:val="1"/>
      <w:marLeft w:val="0"/>
      <w:marRight w:val="0"/>
      <w:marTop w:val="0"/>
      <w:marBottom w:val="0"/>
      <w:divBdr>
        <w:top w:val="none" w:sz="0" w:space="0" w:color="auto"/>
        <w:left w:val="none" w:sz="0" w:space="0" w:color="auto"/>
        <w:bottom w:val="none" w:sz="0" w:space="0" w:color="auto"/>
        <w:right w:val="none" w:sz="0" w:space="0" w:color="auto"/>
      </w:divBdr>
      <w:divsChild>
        <w:div w:id="99571171">
          <w:marLeft w:val="0"/>
          <w:marRight w:val="0"/>
          <w:marTop w:val="0"/>
          <w:marBottom w:val="0"/>
          <w:divBdr>
            <w:top w:val="none" w:sz="0" w:space="0" w:color="auto"/>
            <w:left w:val="none" w:sz="0" w:space="0" w:color="auto"/>
            <w:bottom w:val="none" w:sz="0" w:space="0" w:color="auto"/>
            <w:right w:val="none" w:sz="0" w:space="0" w:color="auto"/>
          </w:divBdr>
        </w:div>
      </w:divsChild>
    </w:div>
    <w:div w:id="233900437">
      <w:bodyDiv w:val="1"/>
      <w:marLeft w:val="0"/>
      <w:marRight w:val="0"/>
      <w:marTop w:val="0"/>
      <w:marBottom w:val="0"/>
      <w:divBdr>
        <w:top w:val="none" w:sz="0" w:space="0" w:color="auto"/>
        <w:left w:val="none" w:sz="0" w:space="0" w:color="auto"/>
        <w:bottom w:val="none" w:sz="0" w:space="0" w:color="auto"/>
        <w:right w:val="none" w:sz="0" w:space="0" w:color="auto"/>
      </w:divBdr>
    </w:div>
    <w:div w:id="386224058">
      <w:bodyDiv w:val="1"/>
      <w:marLeft w:val="0"/>
      <w:marRight w:val="0"/>
      <w:marTop w:val="0"/>
      <w:marBottom w:val="0"/>
      <w:divBdr>
        <w:top w:val="none" w:sz="0" w:space="0" w:color="auto"/>
        <w:left w:val="none" w:sz="0" w:space="0" w:color="auto"/>
        <w:bottom w:val="none" w:sz="0" w:space="0" w:color="auto"/>
        <w:right w:val="none" w:sz="0" w:space="0" w:color="auto"/>
      </w:divBdr>
    </w:div>
    <w:div w:id="388774614">
      <w:bodyDiv w:val="1"/>
      <w:marLeft w:val="0"/>
      <w:marRight w:val="0"/>
      <w:marTop w:val="0"/>
      <w:marBottom w:val="0"/>
      <w:divBdr>
        <w:top w:val="none" w:sz="0" w:space="0" w:color="auto"/>
        <w:left w:val="none" w:sz="0" w:space="0" w:color="auto"/>
        <w:bottom w:val="none" w:sz="0" w:space="0" w:color="auto"/>
        <w:right w:val="none" w:sz="0" w:space="0" w:color="auto"/>
      </w:divBdr>
    </w:div>
    <w:div w:id="478813172">
      <w:bodyDiv w:val="1"/>
      <w:marLeft w:val="0"/>
      <w:marRight w:val="0"/>
      <w:marTop w:val="0"/>
      <w:marBottom w:val="0"/>
      <w:divBdr>
        <w:top w:val="none" w:sz="0" w:space="0" w:color="auto"/>
        <w:left w:val="none" w:sz="0" w:space="0" w:color="auto"/>
        <w:bottom w:val="none" w:sz="0" w:space="0" w:color="auto"/>
        <w:right w:val="none" w:sz="0" w:space="0" w:color="auto"/>
      </w:divBdr>
    </w:div>
    <w:div w:id="489367025">
      <w:bodyDiv w:val="1"/>
      <w:marLeft w:val="0"/>
      <w:marRight w:val="0"/>
      <w:marTop w:val="0"/>
      <w:marBottom w:val="0"/>
      <w:divBdr>
        <w:top w:val="none" w:sz="0" w:space="0" w:color="auto"/>
        <w:left w:val="none" w:sz="0" w:space="0" w:color="auto"/>
        <w:bottom w:val="none" w:sz="0" w:space="0" w:color="auto"/>
        <w:right w:val="none" w:sz="0" w:space="0" w:color="auto"/>
      </w:divBdr>
    </w:div>
    <w:div w:id="529533291">
      <w:bodyDiv w:val="1"/>
      <w:marLeft w:val="0"/>
      <w:marRight w:val="0"/>
      <w:marTop w:val="0"/>
      <w:marBottom w:val="0"/>
      <w:divBdr>
        <w:top w:val="none" w:sz="0" w:space="0" w:color="auto"/>
        <w:left w:val="none" w:sz="0" w:space="0" w:color="auto"/>
        <w:bottom w:val="none" w:sz="0" w:space="0" w:color="auto"/>
        <w:right w:val="none" w:sz="0" w:space="0" w:color="auto"/>
      </w:divBdr>
    </w:div>
    <w:div w:id="826868252">
      <w:bodyDiv w:val="1"/>
      <w:marLeft w:val="0"/>
      <w:marRight w:val="0"/>
      <w:marTop w:val="0"/>
      <w:marBottom w:val="0"/>
      <w:divBdr>
        <w:top w:val="none" w:sz="0" w:space="0" w:color="auto"/>
        <w:left w:val="none" w:sz="0" w:space="0" w:color="auto"/>
        <w:bottom w:val="none" w:sz="0" w:space="0" w:color="auto"/>
        <w:right w:val="none" w:sz="0" w:space="0" w:color="auto"/>
      </w:divBdr>
    </w:div>
    <w:div w:id="844786648">
      <w:bodyDiv w:val="1"/>
      <w:marLeft w:val="0"/>
      <w:marRight w:val="0"/>
      <w:marTop w:val="0"/>
      <w:marBottom w:val="0"/>
      <w:divBdr>
        <w:top w:val="none" w:sz="0" w:space="0" w:color="auto"/>
        <w:left w:val="none" w:sz="0" w:space="0" w:color="auto"/>
        <w:bottom w:val="none" w:sz="0" w:space="0" w:color="auto"/>
        <w:right w:val="none" w:sz="0" w:space="0" w:color="auto"/>
      </w:divBdr>
    </w:div>
    <w:div w:id="909271359">
      <w:bodyDiv w:val="1"/>
      <w:marLeft w:val="0"/>
      <w:marRight w:val="0"/>
      <w:marTop w:val="0"/>
      <w:marBottom w:val="0"/>
      <w:divBdr>
        <w:top w:val="none" w:sz="0" w:space="0" w:color="auto"/>
        <w:left w:val="none" w:sz="0" w:space="0" w:color="auto"/>
        <w:bottom w:val="none" w:sz="0" w:space="0" w:color="auto"/>
        <w:right w:val="none" w:sz="0" w:space="0" w:color="auto"/>
      </w:divBdr>
    </w:div>
    <w:div w:id="1005791954">
      <w:bodyDiv w:val="1"/>
      <w:marLeft w:val="0"/>
      <w:marRight w:val="0"/>
      <w:marTop w:val="0"/>
      <w:marBottom w:val="0"/>
      <w:divBdr>
        <w:top w:val="none" w:sz="0" w:space="0" w:color="auto"/>
        <w:left w:val="none" w:sz="0" w:space="0" w:color="auto"/>
        <w:bottom w:val="none" w:sz="0" w:space="0" w:color="auto"/>
        <w:right w:val="none" w:sz="0" w:space="0" w:color="auto"/>
      </w:divBdr>
    </w:div>
    <w:div w:id="1036540689">
      <w:bodyDiv w:val="1"/>
      <w:marLeft w:val="0"/>
      <w:marRight w:val="0"/>
      <w:marTop w:val="0"/>
      <w:marBottom w:val="0"/>
      <w:divBdr>
        <w:top w:val="none" w:sz="0" w:space="0" w:color="auto"/>
        <w:left w:val="none" w:sz="0" w:space="0" w:color="auto"/>
        <w:bottom w:val="none" w:sz="0" w:space="0" w:color="auto"/>
        <w:right w:val="none" w:sz="0" w:space="0" w:color="auto"/>
      </w:divBdr>
    </w:div>
    <w:div w:id="1061366098">
      <w:bodyDiv w:val="1"/>
      <w:marLeft w:val="0"/>
      <w:marRight w:val="0"/>
      <w:marTop w:val="0"/>
      <w:marBottom w:val="0"/>
      <w:divBdr>
        <w:top w:val="none" w:sz="0" w:space="0" w:color="auto"/>
        <w:left w:val="none" w:sz="0" w:space="0" w:color="auto"/>
        <w:bottom w:val="none" w:sz="0" w:space="0" w:color="auto"/>
        <w:right w:val="none" w:sz="0" w:space="0" w:color="auto"/>
      </w:divBdr>
    </w:div>
    <w:div w:id="1160270722">
      <w:bodyDiv w:val="1"/>
      <w:marLeft w:val="0"/>
      <w:marRight w:val="0"/>
      <w:marTop w:val="0"/>
      <w:marBottom w:val="0"/>
      <w:divBdr>
        <w:top w:val="none" w:sz="0" w:space="0" w:color="auto"/>
        <w:left w:val="none" w:sz="0" w:space="0" w:color="auto"/>
        <w:bottom w:val="none" w:sz="0" w:space="0" w:color="auto"/>
        <w:right w:val="none" w:sz="0" w:space="0" w:color="auto"/>
      </w:divBdr>
    </w:div>
    <w:div w:id="1172137374">
      <w:bodyDiv w:val="1"/>
      <w:marLeft w:val="0"/>
      <w:marRight w:val="0"/>
      <w:marTop w:val="0"/>
      <w:marBottom w:val="0"/>
      <w:divBdr>
        <w:top w:val="none" w:sz="0" w:space="0" w:color="auto"/>
        <w:left w:val="none" w:sz="0" w:space="0" w:color="auto"/>
        <w:bottom w:val="none" w:sz="0" w:space="0" w:color="auto"/>
        <w:right w:val="none" w:sz="0" w:space="0" w:color="auto"/>
      </w:divBdr>
    </w:div>
    <w:div w:id="1238857772">
      <w:bodyDiv w:val="1"/>
      <w:marLeft w:val="0"/>
      <w:marRight w:val="0"/>
      <w:marTop w:val="0"/>
      <w:marBottom w:val="0"/>
      <w:divBdr>
        <w:top w:val="none" w:sz="0" w:space="0" w:color="auto"/>
        <w:left w:val="none" w:sz="0" w:space="0" w:color="auto"/>
        <w:bottom w:val="none" w:sz="0" w:space="0" w:color="auto"/>
        <w:right w:val="none" w:sz="0" w:space="0" w:color="auto"/>
      </w:divBdr>
    </w:div>
    <w:div w:id="1311402575">
      <w:bodyDiv w:val="1"/>
      <w:marLeft w:val="0"/>
      <w:marRight w:val="0"/>
      <w:marTop w:val="0"/>
      <w:marBottom w:val="0"/>
      <w:divBdr>
        <w:top w:val="none" w:sz="0" w:space="0" w:color="auto"/>
        <w:left w:val="none" w:sz="0" w:space="0" w:color="auto"/>
        <w:bottom w:val="none" w:sz="0" w:space="0" w:color="auto"/>
        <w:right w:val="none" w:sz="0" w:space="0" w:color="auto"/>
      </w:divBdr>
    </w:div>
    <w:div w:id="1465654488">
      <w:bodyDiv w:val="1"/>
      <w:marLeft w:val="0"/>
      <w:marRight w:val="0"/>
      <w:marTop w:val="0"/>
      <w:marBottom w:val="0"/>
      <w:divBdr>
        <w:top w:val="none" w:sz="0" w:space="0" w:color="auto"/>
        <w:left w:val="none" w:sz="0" w:space="0" w:color="auto"/>
        <w:bottom w:val="none" w:sz="0" w:space="0" w:color="auto"/>
        <w:right w:val="none" w:sz="0" w:space="0" w:color="auto"/>
      </w:divBdr>
    </w:div>
    <w:div w:id="1502506102">
      <w:bodyDiv w:val="1"/>
      <w:marLeft w:val="0"/>
      <w:marRight w:val="0"/>
      <w:marTop w:val="0"/>
      <w:marBottom w:val="0"/>
      <w:divBdr>
        <w:top w:val="none" w:sz="0" w:space="0" w:color="auto"/>
        <w:left w:val="none" w:sz="0" w:space="0" w:color="auto"/>
        <w:bottom w:val="none" w:sz="0" w:space="0" w:color="auto"/>
        <w:right w:val="none" w:sz="0" w:space="0" w:color="auto"/>
      </w:divBdr>
    </w:div>
    <w:div w:id="1503273573">
      <w:bodyDiv w:val="1"/>
      <w:marLeft w:val="0"/>
      <w:marRight w:val="0"/>
      <w:marTop w:val="0"/>
      <w:marBottom w:val="0"/>
      <w:divBdr>
        <w:top w:val="none" w:sz="0" w:space="0" w:color="auto"/>
        <w:left w:val="none" w:sz="0" w:space="0" w:color="auto"/>
        <w:bottom w:val="none" w:sz="0" w:space="0" w:color="auto"/>
        <w:right w:val="none" w:sz="0" w:space="0" w:color="auto"/>
      </w:divBdr>
      <w:divsChild>
        <w:div w:id="1424766278">
          <w:marLeft w:val="0"/>
          <w:marRight w:val="0"/>
          <w:marTop w:val="0"/>
          <w:marBottom w:val="0"/>
          <w:divBdr>
            <w:top w:val="none" w:sz="0" w:space="0" w:color="auto"/>
            <w:left w:val="none" w:sz="0" w:space="0" w:color="auto"/>
            <w:bottom w:val="none" w:sz="0" w:space="0" w:color="auto"/>
            <w:right w:val="none" w:sz="0" w:space="0" w:color="auto"/>
          </w:divBdr>
          <w:divsChild>
            <w:div w:id="1042939923">
              <w:marLeft w:val="0"/>
              <w:marRight w:val="0"/>
              <w:marTop w:val="0"/>
              <w:marBottom w:val="0"/>
              <w:divBdr>
                <w:top w:val="none" w:sz="0" w:space="0" w:color="auto"/>
                <w:left w:val="none" w:sz="0" w:space="0" w:color="auto"/>
                <w:bottom w:val="none" w:sz="0" w:space="0" w:color="auto"/>
                <w:right w:val="none" w:sz="0" w:space="0" w:color="auto"/>
              </w:divBdr>
              <w:divsChild>
                <w:div w:id="746421465">
                  <w:marLeft w:val="0"/>
                  <w:marRight w:val="0"/>
                  <w:marTop w:val="0"/>
                  <w:marBottom w:val="0"/>
                  <w:divBdr>
                    <w:top w:val="none" w:sz="0" w:space="0" w:color="auto"/>
                    <w:left w:val="none" w:sz="0" w:space="0" w:color="auto"/>
                    <w:bottom w:val="none" w:sz="0" w:space="0" w:color="auto"/>
                    <w:right w:val="none" w:sz="0" w:space="0" w:color="auto"/>
                  </w:divBdr>
                  <w:divsChild>
                    <w:div w:id="1088235107">
                      <w:marLeft w:val="0"/>
                      <w:marRight w:val="0"/>
                      <w:marTop w:val="0"/>
                      <w:marBottom w:val="0"/>
                      <w:divBdr>
                        <w:top w:val="none" w:sz="0" w:space="0" w:color="auto"/>
                        <w:left w:val="none" w:sz="0" w:space="0" w:color="auto"/>
                        <w:bottom w:val="none" w:sz="0" w:space="0" w:color="auto"/>
                        <w:right w:val="none" w:sz="0" w:space="0" w:color="auto"/>
                      </w:divBdr>
                      <w:divsChild>
                        <w:div w:id="12070897">
                          <w:marLeft w:val="0"/>
                          <w:marRight w:val="0"/>
                          <w:marTop w:val="0"/>
                          <w:marBottom w:val="0"/>
                          <w:divBdr>
                            <w:top w:val="none" w:sz="0" w:space="0" w:color="auto"/>
                            <w:left w:val="none" w:sz="0" w:space="0" w:color="auto"/>
                            <w:bottom w:val="none" w:sz="0" w:space="0" w:color="auto"/>
                            <w:right w:val="none" w:sz="0" w:space="0" w:color="auto"/>
                          </w:divBdr>
                          <w:divsChild>
                            <w:div w:id="1799061396">
                              <w:marLeft w:val="0"/>
                              <w:marRight w:val="0"/>
                              <w:marTop w:val="0"/>
                              <w:marBottom w:val="0"/>
                              <w:divBdr>
                                <w:top w:val="none" w:sz="0" w:space="0" w:color="auto"/>
                                <w:left w:val="none" w:sz="0" w:space="0" w:color="auto"/>
                                <w:bottom w:val="none" w:sz="0" w:space="0" w:color="auto"/>
                                <w:right w:val="none" w:sz="0" w:space="0" w:color="auto"/>
                              </w:divBdr>
                              <w:divsChild>
                                <w:div w:id="1387221681">
                                  <w:marLeft w:val="0"/>
                                  <w:marRight w:val="0"/>
                                  <w:marTop w:val="0"/>
                                  <w:marBottom w:val="0"/>
                                  <w:divBdr>
                                    <w:top w:val="none" w:sz="0" w:space="0" w:color="auto"/>
                                    <w:left w:val="none" w:sz="0" w:space="0" w:color="auto"/>
                                    <w:bottom w:val="none" w:sz="0" w:space="0" w:color="auto"/>
                                    <w:right w:val="none" w:sz="0" w:space="0" w:color="auto"/>
                                  </w:divBdr>
                                  <w:divsChild>
                                    <w:div w:id="2102481558">
                                      <w:marLeft w:val="0"/>
                                      <w:marRight w:val="0"/>
                                      <w:marTop w:val="0"/>
                                      <w:marBottom w:val="0"/>
                                      <w:divBdr>
                                        <w:top w:val="none" w:sz="0" w:space="0" w:color="auto"/>
                                        <w:left w:val="none" w:sz="0" w:space="0" w:color="auto"/>
                                        <w:bottom w:val="none" w:sz="0" w:space="0" w:color="auto"/>
                                        <w:right w:val="none" w:sz="0" w:space="0" w:color="auto"/>
                                      </w:divBdr>
                                      <w:divsChild>
                                        <w:div w:id="374937294">
                                          <w:marLeft w:val="0"/>
                                          <w:marRight w:val="0"/>
                                          <w:marTop w:val="0"/>
                                          <w:marBottom w:val="0"/>
                                          <w:divBdr>
                                            <w:top w:val="none" w:sz="0" w:space="0" w:color="auto"/>
                                            <w:left w:val="none" w:sz="0" w:space="0" w:color="auto"/>
                                            <w:bottom w:val="none" w:sz="0" w:space="0" w:color="auto"/>
                                            <w:right w:val="none" w:sz="0" w:space="0" w:color="auto"/>
                                          </w:divBdr>
                                          <w:divsChild>
                                            <w:div w:id="1637251234">
                                              <w:marLeft w:val="0"/>
                                              <w:marRight w:val="0"/>
                                              <w:marTop w:val="0"/>
                                              <w:marBottom w:val="0"/>
                                              <w:divBdr>
                                                <w:top w:val="none" w:sz="0" w:space="0" w:color="auto"/>
                                                <w:left w:val="none" w:sz="0" w:space="0" w:color="auto"/>
                                                <w:bottom w:val="none" w:sz="0" w:space="0" w:color="auto"/>
                                                <w:right w:val="none" w:sz="0" w:space="0" w:color="auto"/>
                                              </w:divBdr>
                                              <w:divsChild>
                                                <w:div w:id="788279418">
                                                  <w:marLeft w:val="0"/>
                                                  <w:marRight w:val="0"/>
                                                  <w:marTop w:val="0"/>
                                                  <w:marBottom w:val="0"/>
                                                  <w:divBdr>
                                                    <w:top w:val="none" w:sz="0" w:space="0" w:color="auto"/>
                                                    <w:left w:val="none" w:sz="0" w:space="0" w:color="auto"/>
                                                    <w:bottom w:val="none" w:sz="0" w:space="0" w:color="auto"/>
                                                    <w:right w:val="none" w:sz="0" w:space="0" w:color="auto"/>
                                                  </w:divBdr>
                                                </w:div>
                                                <w:div w:id="13630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677405">
      <w:bodyDiv w:val="1"/>
      <w:marLeft w:val="0"/>
      <w:marRight w:val="0"/>
      <w:marTop w:val="0"/>
      <w:marBottom w:val="0"/>
      <w:divBdr>
        <w:top w:val="none" w:sz="0" w:space="0" w:color="auto"/>
        <w:left w:val="none" w:sz="0" w:space="0" w:color="auto"/>
        <w:bottom w:val="none" w:sz="0" w:space="0" w:color="auto"/>
        <w:right w:val="none" w:sz="0" w:space="0" w:color="auto"/>
      </w:divBdr>
    </w:div>
    <w:div w:id="1668091797">
      <w:bodyDiv w:val="1"/>
      <w:marLeft w:val="0"/>
      <w:marRight w:val="0"/>
      <w:marTop w:val="0"/>
      <w:marBottom w:val="0"/>
      <w:divBdr>
        <w:top w:val="none" w:sz="0" w:space="0" w:color="auto"/>
        <w:left w:val="none" w:sz="0" w:space="0" w:color="auto"/>
        <w:bottom w:val="none" w:sz="0" w:space="0" w:color="auto"/>
        <w:right w:val="none" w:sz="0" w:space="0" w:color="auto"/>
      </w:divBdr>
    </w:div>
    <w:div w:id="1757365629">
      <w:bodyDiv w:val="1"/>
      <w:marLeft w:val="0"/>
      <w:marRight w:val="0"/>
      <w:marTop w:val="0"/>
      <w:marBottom w:val="0"/>
      <w:divBdr>
        <w:top w:val="none" w:sz="0" w:space="0" w:color="auto"/>
        <w:left w:val="none" w:sz="0" w:space="0" w:color="auto"/>
        <w:bottom w:val="none" w:sz="0" w:space="0" w:color="auto"/>
        <w:right w:val="none" w:sz="0" w:space="0" w:color="auto"/>
      </w:divBdr>
    </w:div>
    <w:div w:id="1899046178">
      <w:bodyDiv w:val="1"/>
      <w:marLeft w:val="0"/>
      <w:marRight w:val="0"/>
      <w:marTop w:val="0"/>
      <w:marBottom w:val="0"/>
      <w:divBdr>
        <w:top w:val="none" w:sz="0" w:space="0" w:color="auto"/>
        <w:left w:val="none" w:sz="0" w:space="0" w:color="auto"/>
        <w:bottom w:val="none" w:sz="0" w:space="0" w:color="auto"/>
        <w:right w:val="none" w:sz="0" w:space="0" w:color="auto"/>
      </w:divBdr>
    </w:div>
    <w:div w:id="1903713236">
      <w:bodyDiv w:val="1"/>
      <w:marLeft w:val="0"/>
      <w:marRight w:val="0"/>
      <w:marTop w:val="0"/>
      <w:marBottom w:val="0"/>
      <w:divBdr>
        <w:top w:val="none" w:sz="0" w:space="0" w:color="auto"/>
        <w:left w:val="none" w:sz="0" w:space="0" w:color="auto"/>
        <w:bottom w:val="none" w:sz="0" w:space="0" w:color="auto"/>
        <w:right w:val="none" w:sz="0" w:space="0" w:color="auto"/>
      </w:divBdr>
    </w:div>
    <w:div w:id="1920360486">
      <w:bodyDiv w:val="1"/>
      <w:marLeft w:val="0"/>
      <w:marRight w:val="0"/>
      <w:marTop w:val="0"/>
      <w:marBottom w:val="0"/>
      <w:divBdr>
        <w:top w:val="none" w:sz="0" w:space="0" w:color="auto"/>
        <w:left w:val="none" w:sz="0" w:space="0" w:color="auto"/>
        <w:bottom w:val="none" w:sz="0" w:space="0" w:color="auto"/>
        <w:right w:val="none" w:sz="0" w:space="0" w:color="auto"/>
      </w:divBdr>
      <w:divsChild>
        <w:div w:id="1645164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863314">
      <w:bodyDiv w:val="1"/>
      <w:marLeft w:val="0"/>
      <w:marRight w:val="0"/>
      <w:marTop w:val="0"/>
      <w:marBottom w:val="0"/>
      <w:divBdr>
        <w:top w:val="none" w:sz="0" w:space="0" w:color="auto"/>
        <w:left w:val="none" w:sz="0" w:space="0" w:color="auto"/>
        <w:bottom w:val="none" w:sz="0" w:space="0" w:color="auto"/>
        <w:right w:val="none" w:sz="0" w:space="0" w:color="auto"/>
      </w:divBdr>
    </w:div>
    <w:div w:id="21028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ic.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ic.org" TargetMode="External"/><Relationship Id="rId17" Type="http://schemas.openxmlformats.org/officeDocument/2006/relationships/hyperlink" Target="http://www.iti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i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FAConsult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ction508.gov" TargetMode="External"/><Relationship Id="rId23" Type="http://schemas.openxmlformats.org/officeDocument/2006/relationships/footer" Target="footer3.xml"/><Relationship Id="rId10" Type="http://schemas.openxmlformats.org/officeDocument/2006/relationships/hyperlink" Target="mailto:Nick.brown@ingromconten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ick.johnson@ingramdigital.com" TargetMode="External"/><Relationship Id="rId14" Type="http://schemas.openxmlformats.org/officeDocument/2006/relationships/hyperlink" Target="http://www.access-board.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7761-9EF9-483F-9A3E-18DA595D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Cisco Proposal</vt:lpstr>
    </vt:vector>
  </TitlesOfParts>
  <Company>The Hadley School for the Blind</Company>
  <LinksUpToDate>false</LinksUpToDate>
  <CharactersWithSpaces>16263</CharactersWithSpaces>
  <SharedDoc>false</SharedDoc>
  <HLinks>
    <vt:vector size="102" baseType="variant">
      <vt:variant>
        <vt:i4>5767247</vt:i4>
      </vt:variant>
      <vt:variant>
        <vt:i4>78</vt:i4>
      </vt:variant>
      <vt:variant>
        <vt:i4>0</vt:i4>
      </vt:variant>
      <vt:variant>
        <vt:i4>5</vt:i4>
      </vt:variant>
      <vt:variant>
        <vt:lpwstr>http://www.itic.org/</vt:lpwstr>
      </vt:variant>
      <vt:variant>
        <vt:lpwstr/>
      </vt:variant>
      <vt:variant>
        <vt:i4>5767247</vt:i4>
      </vt:variant>
      <vt:variant>
        <vt:i4>75</vt:i4>
      </vt:variant>
      <vt:variant>
        <vt:i4>0</vt:i4>
      </vt:variant>
      <vt:variant>
        <vt:i4>5</vt:i4>
      </vt:variant>
      <vt:variant>
        <vt:lpwstr>http://www.itic.org/</vt:lpwstr>
      </vt:variant>
      <vt:variant>
        <vt:lpwstr/>
      </vt:variant>
      <vt:variant>
        <vt:i4>6422578</vt:i4>
      </vt:variant>
      <vt:variant>
        <vt:i4>72</vt:i4>
      </vt:variant>
      <vt:variant>
        <vt:i4>0</vt:i4>
      </vt:variant>
      <vt:variant>
        <vt:i4>5</vt:i4>
      </vt:variant>
      <vt:variant>
        <vt:lpwstr>http://www.section508.gov/</vt:lpwstr>
      </vt:variant>
      <vt:variant>
        <vt:lpwstr/>
      </vt:variant>
      <vt:variant>
        <vt:i4>262227</vt:i4>
      </vt:variant>
      <vt:variant>
        <vt:i4>69</vt:i4>
      </vt:variant>
      <vt:variant>
        <vt:i4>0</vt:i4>
      </vt:variant>
      <vt:variant>
        <vt:i4>5</vt:i4>
      </vt:variant>
      <vt:variant>
        <vt:lpwstr>http://www.access-board.gov/</vt:lpwstr>
      </vt:variant>
      <vt:variant>
        <vt:lpwstr/>
      </vt:variant>
      <vt:variant>
        <vt:i4>5767247</vt:i4>
      </vt:variant>
      <vt:variant>
        <vt:i4>66</vt:i4>
      </vt:variant>
      <vt:variant>
        <vt:i4>0</vt:i4>
      </vt:variant>
      <vt:variant>
        <vt:i4>5</vt:i4>
      </vt:variant>
      <vt:variant>
        <vt:lpwstr>http://www.itic.org/</vt:lpwstr>
      </vt:variant>
      <vt:variant>
        <vt:lpwstr/>
      </vt:variant>
      <vt:variant>
        <vt:i4>5767247</vt:i4>
      </vt:variant>
      <vt:variant>
        <vt:i4>63</vt:i4>
      </vt:variant>
      <vt:variant>
        <vt:i4>0</vt:i4>
      </vt:variant>
      <vt:variant>
        <vt:i4>5</vt:i4>
      </vt:variant>
      <vt:variant>
        <vt:lpwstr>http://www.itic.org/</vt:lpwstr>
      </vt:variant>
      <vt:variant>
        <vt:lpwstr/>
      </vt:variant>
      <vt:variant>
        <vt:i4>6422578</vt:i4>
      </vt:variant>
      <vt:variant>
        <vt:i4>60</vt:i4>
      </vt:variant>
      <vt:variant>
        <vt:i4>0</vt:i4>
      </vt:variant>
      <vt:variant>
        <vt:i4>5</vt:i4>
      </vt:variant>
      <vt:variant>
        <vt:lpwstr>http://www.section508.gov/</vt:lpwstr>
      </vt:variant>
      <vt:variant>
        <vt:lpwstr/>
      </vt:variant>
      <vt:variant>
        <vt:i4>1507380</vt:i4>
      </vt:variant>
      <vt:variant>
        <vt:i4>50</vt:i4>
      </vt:variant>
      <vt:variant>
        <vt:i4>0</vt:i4>
      </vt:variant>
      <vt:variant>
        <vt:i4>5</vt:i4>
      </vt:variant>
      <vt:variant>
        <vt:lpwstr/>
      </vt:variant>
      <vt:variant>
        <vt:lpwstr>_Toc414605423</vt:lpwstr>
      </vt:variant>
      <vt:variant>
        <vt:i4>1507380</vt:i4>
      </vt:variant>
      <vt:variant>
        <vt:i4>44</vt:i4>
      </vt:variant>
      <vt:variant>
        <vt:i4>0</vt:i4>
      </vt:variant>
      <vt:variant>
        <vt:i4>5</vt:i4>
      </vt:variant>
      <vt:variant>
        <vt:lpwstr/>
      </vt:variant>
      <vt:variant>
        <vt:lpwstr>_Toc414605422</vt:lpwstr>
      </vt:variant>
      <vt:variant>
        <vt:i4>1507380</vt:i4>
      </vt:variant>
      <vt:variant>
        <vt:i4>38</vt:i4>
      </vt:variant>
      <vt:variant>
        <vt:i4>0</vt:i4>
      </vt:variant>
      <vt:variant>
        <vt:i4>5</vt:i4>
      </vt:variant>
      <vt:variant>
        <vt:lpwstr/>
      </vt:variant>
      <vt:variant>
        <vt:lpwstr>_Toc414605421</vt:lpwstr>
      </vt:variant>
      <vt:variant>
        <vt:i4>1507380</vt:i4>
      </vt:variant>
      <vt:variant>
        <vt:i4>32</vt:i4>
      </vt:variant>
      <vt:variant>
        <vt:i4>0</vt:i4>
      </vt:variant>
      <vt:variant>
        <vt:i4>5</vt:i4>
      </vt:variant>
      <vt:variant>
        <vt:lpwstr/>
      </vt:variant>
      <vt:variant>
        <vt:lpwstr>_Toc414605420</vt:lpwstr>
      </vt:variant>
      <vt:variant>
        <vt:i4>1310772</vt:i4>
      </vt:variant>
      <vt:variant>
        <vt:i4>26</vt:i4>
      </vt:variant>
      <vt:variant>
        <vt:i4>0</vt:i4>
      </vt:variant>
      <vt:variant>
        <vt:i4>5</vt:i4>
      </vt:variant>
      <vt:variant>
        <vt:lpwstr/>
      </vt:variant>
      <vt:variant>
        <vt:lpwstr>_Toc414605417</vt:lpwstr>
      </vt:variant>
      <vt:variant>
        <vt:i4>1376308</vt:i4>
      </vt:variant>
      <vt:variant>
        <vt:i4>20</vt:i4>
      </vt:variant>
      <vt:variant>
        <vt:i4>0</vt:i4>
      </vt:variant>
      <vt:variant>
        <vt:i4>5</vt:i4>
      </vt:variant>
      <vt:variant>
        <vt:lpwstr/>
      </vt:variant>
      <vt:variant>
        <vt:lpwstr>_Toc414605402</vt:lpwstr>
      </vt:variant>
      <vt:variant>
        <vt:i4>1835059</vt:i4>
      </vt:variant>
      <vt:variant>
        <vt:i4>14</vt:i4>
      </vt:variant>
      <vt:variant>
        <vt:i4>0</vt:i4>
      </vt:variant>
      <vt:variant>
        <vt:i4>5</vt:i4>
      </vt:variant>
      <vt:variant>
        <vt:lpwstr/>
      </vt:variant>
      <vt:variant>
        <vt:lpwstr>_Toc414605399</vt:lpwstr>
      </vt:variant>
      <vt:variant>
        <vt:i4>5111829</vt:i4>
      </vt:variant>
      <vt:variant>
        <vt:i4>9</vt:i4>
      </vt:variant>
      <vt:variant>
        <vt:i4>0</vt:i4>
      </vt:variant>
      <vt:variant>
        <vt:i4>5</vt:i4>
      </vt:variant>
      <vt:variant>
        <vt:lpwstr>http://www.tfaconsulting.com/</vt:lpwstr>
      </vt:variant>
      <vt:variant>
        <vt:lpwstr/>
      </vt:variant>
      <vt:variant>
        <vt:i4>4259893</vt:i4>
      </vt:variant>
      <vt:variant>
        <vt:i4>6</vt:i4>
      </vt:variant>
      <vt:variant>
        <vt:i4>0</vt:i4>
      </vt:variant>
      <vt:variant>
        <vt:i4>5</vt:i4>
      </vt:variant>
      <vt:variant>
        <vt:lpwstr>mailto:Nick.brown@ingromcontent.com</vt:lpwstr>
      </vt:variant>
      <vt:variant>
        <vt:lpwstr/>
      </vt:variant>
      <vt:variant>
        <vt:i4>2228288</vt:i4>
      </vt:variant>
      <vt:variant>
        <vt:i4>3</vt:i4>
      </vt:variant>
      <vt:variant>
        <vt:i4>0</vt:i4>
      </vt:variant>
      <vt:variant>
        <vt:i4>5</vt:i4>
      </vt:variant>
      <vt:variant>
        <vt:lpwstr>mailto:rick.johnson@ingramdigital.com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Proposal</dc:title>
  <dc:creator>Ceasar</dc:creator>
  <cp:lastModifiedBy>Catherine Murphy</cp:lastModifiedBy>
  <cp:revision>3</cp:revision>
  <cp:lastPrinted>2012-02-22T20:06:00Z</cp:lastPrinted>
  <dcterms:created xsi:type="dcterms:W3CDTF">2017-02-26T17:55:00Z</dcterms:created>
  <dcterms:modified xsi:type="dcterms:W3CDTF">2017-02-26T17:57:00Z</dcterms:modified>
</cp:coreProperties>
</file>